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X="-1560" w:tblpY="1"/>
        <w:tblOverlap w:val="never"/>
        <w:tblW w:w="8577" w:type="dxa"/>
        <w:tblLayout w:type="fixed"/>
        <w:tblCellMar>
          <w:left w:w="0" w:type="dxa"/>
          <w:right w:w="0" w:type="dxa"/>
        </w:tblCellMar>
        <w:tblLook w:val="0000" w:firstRow="0" w:lastRow="0" w:firstColumn="0" w:lastColumn="0" w:noHBand="0" w:noVBand="0"/>
      </w:tblPr>
      <w:tblGrid>
        <w:gridCol w:w="1389"/>
        <w:gridCol w:w="170"/>
        <w:gridCol w:w="1490"/>
        <w:gridCol w:w="142"/>
        <w:gridCol w:w="750"/>
        <w:gridCol w:w="100"/>
        <w:gridCol w:w="1418"/>
        <w:gridCol w:w="1005"/>
        <w:gridCol w:w="129"/>
        <w:gridCol w:w="1984"/>
      </w:tblGrid>
      <w:tr w:rsidR="00EE2382" w:rsidRPr="00D5708E" w14:paraId="5B388507" w14:textId="77777777" w:rsidTr="000B3643">
        <w:trPr>
          <w:trHeight w:val="510"/>
        </w:trPr>
        <w:tc>
          <w:tcPr>
            <w:tcW w:w="1389" w:type="dxa"/>
            <w:vAlign w:val="bottom"/>
          </w:tcPr>
          <w:p w14:paraId="3ABA2593" w14:textId="77777777" w:rsidR="00EE2382" w:rsidRPr="00D5708E" w:rsidRDefault="00EE2382" w:rsidP="000B3643">
            <w:pPr>
              <w:spacing w:before="40"/>
              <w:ind w:left="-1134"/>
              <w:jc w:val="right"/>
            </w:pPr>
            <w:r w:rsidRPr="00AA17C5">
              <w:rPr>
                <w:rStyle w:val="KopjebriefrechtsChar"/>
              </w:rPr>
              <w:t>Onderwerp</w:t>
            </w:r>
          </w:p>
        </w:tc>
        <w:tc>
          <w:tcPr>
            <w:tcW w:w="170" w:type="dxa"/>
            <w:vAlign w:val="bottom"/>
          </w:tcPr>
          <w:p w14:paraId="124040C9" w14:textId="77777777" w:rsidR="00EE2382" w:rsidRPr="00D5708E" w:rsidRDefault="00EE2382" w:rsidP="000B3643"/>
        </w:tc>
        <w:tc>
          <w:tcPr>
            <w:tcW w:w="7018" w:type="dxa"/>
            <w:gridSpan w:val="8"/>
            <w:vAlign w:val="bottom"/>
          </w:tcPr>
          <w:p w14:paraId="46022454" w14:textId="77777777" w:rsidR="00EE2382" w:rsidRPr="00D5708E" w:rsidRDefault="00EE2382" w:rsidP="000B3643">
            <w:r>
              <w:rPr>
                <w:noProof/>
              </w:rPr>
              <w:t>Besluit opvanglocatie asielzoekers Eemsgolaan</w:t>
            </w:r>
          </w:p>
        </w:tc>
      </w:tr>
      <w:tr w:rsidR="00EE2382" w:rsidRPr="00D5708E" w14:paraId="6E53AB68" w14:textId="77777777" w:rsidTr="000B3643">
        <w:trPr>
          <w:cantSplit/>
          <w:trHeight w:hRule="exact" w:val="624"/>
        </w:trPr>
        <w:tc>
          <w:tcPr>
            <w:tcW w:w="1389" w:type="dxa"/>
            <w:vAlign w:val="bottom"/>
          </w:tcPr>
          <w:p w14:paraId="22544792" w14:textId="77777777" w:rsidR="00EE2382" w:rsidRPr="00D5708E" w:rsidRDefault="00EE2382" w:rsidP="000B3643">
            <w:pPr>
              <w:spacing w:after="20"/>
              <w:jc w:val="right"/>
            </w:pPr>
          </w:p>
        </w:tc>
        <w:tc>
          <w:tcPr>
            <w:tcW w:w="170" w:type="dxa"/>
          </w:tcPr>
          <w:p w14:paraId="164A6058" w14:textId="77777777" w:rsidR="00EE2382" w:rsidRPr="00D5708E" w:rsidRDefault="00EE2382" w:rsidP="000B3643"/>
        </w:tc>
        <w:tc>
          <w:tcPr>
            <w:tcW w:w="7018" w:type="dxa"/>
            <w:gridSpan w:val="8"/>
            <w:shd w:val="clear" w:color="auto" w:fill="auto"/>
            <w:vAlign w:val="bottom"/>
          </w:tcPr>
          <w:p w14:paraId="3E5EBB34" w14:textId="77777777" w:rsidR="00EE2382" w:rsidRDefault="00EE2382" w:rsidP="000B3643">
            <w:proofErr w:type="gramStart"/>
            <w:r>
              <w:t>ter</w:t>
            </w:r>
            <w:proofErr w:type="gramEnd"/>
            <w:r>
              <w:t xml:space="preserve"> informatie</w:t>
            </w:r>
          </w:p>
          <w:p w14:paraId="53408C50" w14:textId="77777777" w:rsidR="00EE2382" w:rsidRPr="00D5708E" w:rsidRDefault="00EE2382" w:rsidP="000B3643"/>
        </w:tc>
      </w:tr>
      <w:tr w:rsidR="00EE2382" w:rsidRPr="00D5708E" w14:paraId="1DBD012C" w14:textId="77777777" w:rsidTr="000B3643">
        <w:trPr>
          <w:trHeight w:hRule="exact" w:val="516"/>
        </w:trPr>
        <w:tc>
          <w:tcPr>
            <w:tcW w:w="1389" w:type="dxa"/>
            <w:vAlign w:val="bottom"/>
          </w:tcPr>
          <w:p w14:paraId="1AE3A686" w14:textId="77777777" w:rsidR="00EE2382" w:rsidRPr="00D5708E" w:rsidRDefault="00EE2382" w:rsidP="000B3643"/>
        </w:tc>
        <w:tc>
          <w:tcPr>
            <w:tcW w:w="170" w:type="dxa"/>
          </w:tcPr>
          <w:p w14:paraId="2A783255" w14:textId="77777777" w:rsidR="00EE2382" w:rsidRPr="00D5708E" w:rsidRDefault="00EE2382" w:rsidP="000B3643"/>
        </w:tc>
        <w:tc>
          <w:tcPr>
            <w:tcW w:w="7018" w:type="dxa"/>
            <w:gridSpan w:val="8"/>
            <w:shd w:val="clear" w:color="auto" w:fill="auto"/>
          </w:tcPr>
          <w:p w14:paraId="602F9D93" w14:textId="77777777" w:rsidR="00EE2382" w:rsidRPr="00D5708E" w:rsidRDefault="00EE2382" w:rsidP="000B3643"/>
        </w:tc>
      </w:tr>
      <w:tr w:rsidR="00EE2382" w:rsidRPr="00D5708E" w14:paraId="6A6A7E07" w14:textId="77777777" w:rsidTr="000B3643">
        <w:trPr>
          <w:trHeight w:val="1844"/>
        </w:trPr>
        <w:tc>
          <w:tcPr>
            <w:tcW w:w="1389" w:type="dxa"/>
            <w:vAlign w:val="bottom"/>
          </w:tcPr>
          <w:p w14:paraId="76E2B69E" w14:textId="77777777" w:rsidR="00EE2382" w:rsidRPr="00D5708E" w:rsidRDefault="00EE2382" w:rsidP="000B3643"/>
        </w:tc>
        <w:tc>
          <w:tcPr>
            <w:tcW w:w="170" w:type="dxa"/>
          </w:tcPr>
          <w:p w14:paraId="7284D018" w14:textId="77777777" w:rsidR="00EE2382" w:rsidRPr="00D5708E" w:rsidRDefault="00EE2382" w:rsidP="000B3643"/>
        </w:tc>
        <w:tc>
          <w:tcPr>
            <w:tcW w:w="7018" w:type="dxa"/>
            <w:gridSpan w:val="8"/>
          </w:tcPr>
          <w:p w14:paraId="6C301CEE" w14:textId="77777777" w:rsidR="00EE2382" w:rsidRDefault="00EE2382" w:rsidP="000B3643">
            <w:r>
              <w:t>De leden van de raad van de gemeente Groningen</w:t>
            </w:r>
          </w:p>
          <w:p w14:paraId="0CD2CC2D" w14:textId="77777777" w:rsidR="00EE2382" w:rsidRDefault="00EE2382" w:rsidP="000B3643">
            <w:proofErr w:type="gramStart"/>
            <w:r>
              <w:t>te</w:t>
            </w:r>
            <w:proofErr w:type="gramEnd"/>
          </w:p>
          <w:p w14:paraId="0DEF9B9D" w14:textId="77777777" w:rsidR="00EE2382" w:rsidRDefault="00EE2382" w:rsidP="000B3643">
            <w:r>
              <w:t>GRONINGEN</w:t>
            </w:r>
          </w:p>
          <w:p w14:paraId="3C319187" w14:textId="77777777" w:rsidR="00EE2382" w:rsidRDefault="00EE2382" w:rsidP="000B3643"/>
          <w:p w14:paraId="54A8CA6C" w14:textId="77777777" w:rsidR="00EE2382" w:rsidRPr="00D5708E" w:rsidRDefault="00EE2382" w:rsidP="000B3643"/>
        </w:tc>
      </w:tr>
      <w:tr w:rsidR="00EE2382" w:rsidRPr="00D5708E" w14:paraId="5A399F13" w14:textId="77777777" w:rsidTr="000B3643">
        <w:trPr>
          <w:cantSplit/>
          <w:trHeight w:val="720"/>
        </w:trPr>
        <w:tc>
          <w:tcPr>
            <w:tcW w:w="1389" w:type="dxa"/>
            <w:vAlign w:val="bottom"/>
          </w:tcPr>
          <w:p w14:paraId="1271C8DC" w14:textId="77777777" w:rsidR="00EE2382" w:rsidRPr="00D5708E" w:rsidRDefault="00EE2382" w:rsidP="000B3643">
            <w:pPr>
              <w:spacing w:after="20"/>
              <w:jc w:val="right"/>
            </w:pPr>
            <w:r w:rsidRPr="00AA17C5">
              <w:rPr>
                <w:rStyle w:val="KopjebriefrechtsChar"/>
              </w:rPr>
              <w:t>Telefoon</w:t>
            </w:r>
          </w:p>
        </w:tc>
        <w:tc>
          <w:tcPr>
            <w:tcW w:w="170" w:type="dxa"/>
            <w:vAlign w:val="bottom"/>
          </w:tcPr>
          <w:p w14:paraId="32334C21" w14:textId="77777777" w:rsidR="00EE2382" w:rsidRPr="00D5708E" w:rsidRDefault="00EE2382" w:rsidP="000B3643"/>
        </w:tc>
        <w:tc>
          <w:tcPr>
            <w:tcW w:w="1632" w:type="dxa"/>
            <w:gridSpan w:val="2"/>
            <w:vAlign w:val="bottom"/>
          </w:tcPr>
          <w:p w14:paraId="74FC6E45" w14:textId="77777777" w:rsidR="00EE2382" w:rsidRPr="00D5708E" w:rsidRDefault="00EE2382" w:rsidP="000B3643">
            <w:r>
              <w:t>14 050</w:t>
            </w:r>
          </w:p>
        </w:tc>
        <w:tc>
          <w:tcPr>
            <w:tcW w:w="750" w:type="dxa"/>
            <w:vAlign w:val="bottom"/>
          </w:tcPr>
          <w:p w14:paraId="131F3692" w14:textId="77777777" w:rsidR="00EE2382" w:rsidRPr="00D5708E" w:rsidRDefault="00EE2382" w:rsidP="000B3643">
            <w:pPr>
              <w:spacing w:after="20"/>
              <w:jc w:val="right"/>
            </w:pPr>
            <w:r w:rsidRPr="00AA17C5">
              <w:rPr>
                <w:rStyle w:val="KopjebriefrechtsChar"/>
              </w:rPr>
              <w:t>Bijlage</w:t>
            </w:r>
            <w:r w:rsidRPr="000E4F05">
              <w:rPr>
                <w:rStyle w:val="KopjeformulierChar"/>
              </w:rPr>
              <w:t>(n)</w:t>
            </w:r>
          </w:p>
        </w:tc>
        <w:tc>
          <w:tcPr>
            <w:tcW w:w="100" w:type="dxa"/>
            <w:vAlign w:val="bottom"/>
          </w:tcPr>
          <w:p w14:paraId="2F7D28ED" w14:textId="77777777" w:rsidR="00EE2382" w:rsidRPr="00D5708E" w:rsidRDefault="00EE2382" w:rsidP="000B3643"/>
        </w:tc>
        <w:tc>
          <w:tcPr>
            <w:tcW w:w="1418" w:type="dxa"/>
            <w:vAlign w:val="bottom"/>
          </w:tcPr>
          <w:p w14:paraId="6F97D42D" w14:textId="77777777" w:rsidR="00EE2382" w:rsidRPr="00D5708E" w:rsidRDefault="00EE2382" w:rsidP="000B3643">
            <w:r>
              <w:t>14</w:t>
            </w:r>
          </w:p>
        </w:tc>
        <w:tc>
          <w:tcPr>
            <w:tcW w:w="1005" w:type="dxa"/>
            <w:vAlign w:val="bottom"/>
          </w:tcPr>
          <w:p w14:paraId="2EB3B883" w14:textId="77777777" w:rsidR="00EE2382" w:rsidRPr="00D5708E" w:rsidRDefault="00EE2382" w:rsidP="000B3643">
            <w:pPr>
              <w:spacing w:after="20"/>
              <w:jc w:val="right"/>
            </w:pPr>
            <w:r w:rsidRPr="00AA17C5">
              <w:rPr>
                <w:rStyle w:val="KopjebriefrechtsChar"/>
              </w:rPr>
              <w:t>Ons</w:t>
            </w:r>
            <w:r w:rsidRPr="00D5708E">
              <w:t xml:space="preserve"> </w:t>
            </w:r>
            <w:r w:rsidRPr="00AA17C5">
              <w:rPr>
                <w:rStyle w:val="KopjebriefrechtsChar"/>
              </w:rPr>
              <w:t>kenmerk</w:t>
            </w:r>
          </w:p>
        </w:tc>
        <w:tc>
          <w:tcPr>
            <w:tcW w:w="129" w:type="dxa"/>
            <w:vAlign w:val="bottom"/>
          </w:tcPr>
          <w:p w14:paraId="3FBA3E4D" w14:textId="77777777" w:rsidR="00EE2382" w:rsidRPr="00D5708E" w:rsidRDefault="00EE2382" w:rsidP="000B3643"/>
        </w:tc>
        <w:tc>
          <w:tcPr>
            <w:tcW w:w="1984" w:type="dxa"/>
            <w:vAlign w:val="bottom"/>
          </w:tcPr>
          <w:p w14:paraId="66F4D91A" w14:textId="77777777" w:rsidR="00EE2382" w:rsidRPr="00B37BD4" w:rsidRDefault="00EE2382" w:rsidP="000B3643">
            <w:pPr>
              <w:rPr>
                <w:sz w:val="22"/>
                <w:szCs w:val="22"/>
              </w:rPr>
            </w:pPr>
            <w:r w:rsidRPr="00FF234D">
              <w:rPr>
                <w:szCs w:val="24"/>
              </w:rPr>
              <w:t>334888-2024</w:t>
            </w:r>
          </w:p>
        </w:tc>
      </w:tr>
      <w:tr w:rsidR="00EE2382" w:rsidRPr="00D5708E" w14:paraId="184C2597" w14:textId="77777777" w:rsidTr="000B3643">
        <w:trPr>
          <w:cantSplit/>
          <w:trHeight w:val="480"/>
        </w:trPr>
        <w:tc>
          <w:tcPr>
            <w:tcW w:w="1389" w:type="dxa"/>
            <w:vAlign w:val="bottom"/>
          </w:tcPr>
          <w:p w14:paraId="6F987391" w14:textId="77777777" w:rsidR="00EE2382" w:rsidRPr="00D5708E" w:rsidRDefault="00EE2382" w:rsidP="000B3643">
            <w:pPr>
              <w:spacing w:after="20"/>
              <w:jc w:val="right"/>
            </w:pPr>
            <w:r w:rsidRPr="008E3DF2">
              <w:rPr>
                <w:rStyle w:val="KopjebriefrechtsChar"/>
              </w:rPr>
              <w:t>Datum</w:t>
            </w:r>
          </w:p>
        </w:tc>
        <w:tc>
          <w:tcPr>
            <w:tcW w:w="170" w:type="dxa"/>
            <w:vAlign w:val="bottom"/>
          </w:tcPr>
          <w:p w14:paraId="46966F72" w14:textId="77777777" w:rsidR="00EE2382" w:rsidRPr="00D5708E" w:rsidRDefault="00EE2382" w:rsidP="000B3643"/>
        </w:tc>
        <w:tc>
          <w:tcPr>
            <w:tcW w:w="1490" w:type="dxa"/>
            <w:vAlign w:val="bottom"/>
          </w:tcPr>
          <w:p w14:paraId="143E464D" w14:textId="77777777" w:rsidR="00EE2382" w:rsidRPr="00D5708E" w:rsidRDefault="00EE2382" w:rsidP="000B3643">
            <w:r>
              <w:rPr>
                <w:noProof/>
              </w:rPr>
              <w:t xml:space="preserve">19-11-2024     </w:t>
            </w:r>
          </w:p>
        </w:tc>
        <w:tc>
          <w:tcPr>
            <w:tcW w:w="892" w:type="dxa"/>
            <w:gridSpan w:val="2"/>
            <w:vAlign w:val="bottom"/>
          </w:tcPr>
          <w:p w14:paraId="341BC24D" w14:textId="77777777" w:rsidR="00EE2382" w:rsidRPr="00D5708E" w:rsidRDefault="00EE2382" w:rsidP="000B3643">
            <w:pPr>
              <w:spacing w:after="20"/>
              <w:jc w:val="right"/>
            </w:pPr>
            <w:r w:rsidRPr="00AA17C5">
              <w:rPr>
                <w:rStyle w:val="KopjebriefrechtsChar"/>
              </w:rPr>
              <w:t>Uw</w:t>
            </w:r>
            <w:r w:rsidRPr="00D5708E">
              <w:t xml:space="preserve"> </w:t>
            </w:r>
            <w:r w:rsidRPr="00AA17C5">
              <w:rPr>
                <w:rStyle w:val="KopjebriefrechtsChar"/>
              </w:rPr>
              <w:t>brief</w:t>
            </w:r>
            <w:r w:rsidRPr="00D5708E">
              <w:t xml:space="preserve"> </w:t>
            </w:r>
            <w:r w:rsidRPr="00AA17C5">
              <w:rPr>
                <w:rStyle w:val="KopjebriefrechtsChar"/>
              </w:rPr>
              <w:t>van</w:t>
            </w:r>
          </w:p>
        </w:tc>
        <w:tc>
          <w:tcPr>
            <w:tcW w:w="100" w:type="dxa"/>
            <w:vAlign w:val="bottom"/>
          </w:tcPr>
          <w:p w14:paraId="27F9E502" w14:textId="77777777" w:rsidR="00EE2382" w:rsidRPr="00D5708E" w:rsidRDefault="00EE2382" w:rsidP="000B3643"/>
        </w:tc>
        <w:tc>
          <w:tcPr>
            <w:tcW w:w="1418" w:type="dxa"/>
            <w:vAlign w:val="bottom"/>
          </w:tcPr>
          <w:p w14:paraId="38D339D2" w14:textId="77777777" w:rsidR="00EE2382" w:rsidRPr="00D5708E" w:rsidRDefault="00EE2382" w:rsidP="000B3643">
            <w:r>
              <w:rPr>
                <w:noProof/>
              </w:rPr>
              <w:t xml:space="preserve">     </w:t>
            </w:r>
          </w:p>
        </w:tc>
        <w:tc>
          <w:tcPr>
            <w:tcW w:w="1005" w:type="dxa"/>
            <w:vAlign w:val="bottom"/>
          </w:tcPr>
          <w:p w14:paraId="1A5DFAB1" w14:textId="77777777" w:rsidR="00EE2382" w:rsidRPr="00D5708E" w:rsidRDefault="00EE2382" w:rsidP="000B3643">
            <w:pPr>
              <w:spacing w:after="20"/>
              <w:jc w:val="right"/>
            </w:pPr>
            <w:r w:rsidRPr="00AA17C5">
              <w:rPr>
                <w:rStyle w:val="KopjebriefrechtsChar"/>
              </w:rPr>
              <w:t>Uw</w:t>
            </w:r>
            <w:r w:rsidRPr="00D5708E">
              <w:t xml:space="preserve"> </w:t>
            </w:r>
            <w:r w:rsidRPr="00AA17C5">
              <w:rPr>
                <w:rStyle w:val="KopjebriefrechtsChar"/>
              </w:rPr>
              <w:t>kenmerk</w:t>
            </w:r>
          </w:p>
        </w:tc>
        <w:tc>
          <w:tcPr>
            <w:tcW w:w="129" w:type="dxa"/>
            <w:vAlign w:val="bottom"/>
          </w:tcPr>
          <w:p w14:paraId="22672421" w14:textId="77777777" w:rsidR="00EE2382" w:rsidRPr="00D5708E" w:rsidRDefault="00EE2382" w:rsidP="000B3643"/>
        </w:tc>
        <w:tc>
          <w:tcPr>
            <w:tcW w:w="1984" w:type="dxa"/>
            <w:vAlign w:val="bottom"/>
          </w:tcPr>
          <w:p w14:paraId="69E1D8EF" w14:textId="77777777" w:rsidR="00EE2382" w:rsidRPr="00D5708E" w:rsidRDefault="00EE2382" w:rsidP="000B3643">
            <w:r>
              <w:rPr>
                <w:noProof/>
              </w:rPr>
              <w:t xml:space="preserve">     </w:t>
            </w:r>
          </w:p>
        </w:tc>
      </w:tr>
      <w:tr w:rsidR="00EE2382" w:rsidRPr="00D5708E" w14:paraId="0D2A583A" w14:textId="77777777" w:rsidTr="000B3643">
        <w:trPr>
          <w:cantSplit/>
          <w:trHeight w:val="480"/>
        </w:trPr>
        <w:tc>
          <w:tcPr>
            <w:tcW w:w="1389" w:type="dxa"/>
            <w:vAlign w:val="bottom"/>
          </w:tcPr>
          <w:p w14:paraId="3C4AC063" w14:textId="77777777" w:rsidR="00EE2382" w:rsidRPr="008E3DF2" w:rsidRDefault="00EE2382" w:rsidP="000B3643">
            <w:pPr>
              <w:spacing w:after="20"/>
              <w:jc w:val="right"/>
              <w:rPr>
                <w:rStyle w:val="KopjebriefrechtsChar"/>
              </w:rPr>
            </w:pPr>
          </w:p>
        </w:tc>
        <w:tc>
          <w:tcPr>
            <w:tcW w:w="170" w:type="dxa"/>
            <w:vAlign w:val="bottom"/>
          </w:tcPr>
          <w:p w14:paraId="1AC36817" w14:textId="77777777" w:rsidR="00EE2382" w:rsidRPr="00D5708E" w:rsidRDefault="00EE2382" w:rsidP="000B3643"/>
        </w:tc>
        <w:tc>
          <w:tcPr>
            <w:tcW w:w="1490" w:type="dxa"/>
            <w:vAlign w:val="bottom"/>
          </w:tcPr>
          <w:p w14:paraId="557CF0D4" w14:textId="77777777" w:rsidR="00EE2382" w:rsidRPr="00D5708E" w:rsidRDefault="00EE2382" w:rsidP="000B3643"/>
        </w:tc>
        <w:tc>
          <w:tcPr>
            <w:tcW w:w="892" w:type="dxa"/>
            <w:gridSpan w:val="2"/>
            <w:vAlign w:val="bottom"/>
          </w:tcPr>
          <w:p w14:paraId="352FD0E1" w14:textId="77777777" w:rsidR="00EE2382" w:rsidRPr="00AA17C5" w:rsidRDefault="00EE2382" w:rsidP="000B3643">
            <w:pPr>
              <w:spacing w:after="20"/>
              <w:jc w:val="right"/>
              <w:rPr>
                <w:rStyle w:val="KopjebriefrechtsChar"/>
              </w:rPr>
            </w:pPr>
          </w:p>
        </w:tc>
        <w:tc>
          <w:tcPr>
            <w:tcW w:w="100" w:type="dxa"/>
            <w:vAlign w:val="bottom"/>
          </w:tcPr>
          <w:p w14:paraId="066D15BE" w14:textId="77777777" w:rsidR="00EE2382" w:rsidRPr="00D5708E" w:rsidRDefault="00EE2382" w:rsidP="000B3643"/>
        </w:tc>
        <w:tc>
          <w:tcPr>
            <w:tcW w:w="2423" w:type="dxa"/>
            <w:gridSpan w:val="2"/>
            <w:vAlign w:val="bottom"/>
          </w:tcPr>
          <w:p w14:paraId="21E7D0E0" w14:textId="77777777" w:rsidR="00EE2382" w:rsidRPr="00AA17C5" w:rsidRDefault="00EE2382" w:rsidP="000B3643">
            <w:pPr>
              <w:spacing w:after="20"/>
              <w:jc w:val="right"/>
              <w:rPr>
                <w:rStyle w:val="KopjebriefrechtsChar"/>
              </w:rPr>
            </w:pPr>
          </w:p>
        </w:tc>
        <w:tc>
          <w:tcPr>
            <w:tcW w:w="129" w:type="dxa"/>
            <w:vAlign w:val="bottom"/>
          </w:tcPr>
          <w:p w14:paraId="5544D35A" w14:textId="77777777" w:rsidR="00EE2382" w:rsidRPr="00D5708E" w:rsidRDefault="00EE2382" w:rsidP="000B3643"/>
        </w:tc>
        <w:tc>
          <w:tcPr>
            <w:tcW w:w="1984" w:type="dxa"/>
            <w:vAlign w:val="bottom"/>
          </w:tcPr>
          <w:p w14:paraId="4C6D0374" w14:textId="77777777" w:rsidR="00EE2382" w:rsidRPr="00D5708E" w:rsidRDefault="00EE2382" w:rsidP="000B3643"/>
        </w:tc>
      </w:tr>
    </w:tbl>
    <w:p w14:paraId="2C876FCE" w14:textId="77777777" w:rsidR="00EE2382" w:rsidRDefault="00EE2382" w:rsidP="00EE2382">
      <w:pPr>
        <w:sectPr w:rsidR="00EE2382" w:rsidSect="00EE2382">
          <w:headerReference w:type="even" r:id="rId8"/>
          <w:footerReference w:type="even" r:id="rId9"/>
          <w:footerReference w:type="default" r:id="rId10"/>
          <w:type w:val="continuous"/>
          <w:pgSz w:w="11906" w:h="16838" w:code="9"/>
          <w:pgMar w:top="1701" w:right="1418" w:bottom="1418" w:left="2126" w:header="1134" w:footer="709" w:gutter="0"/>
          <w:paperSrc w:first="1" w:other="2"/>
          <w:pgNumType w:start="1"/>
          <w:cols w:space="708"/>
          <w:titlePg/>
        </w:sectPr>
      </w:pPr>
    </w:p>
    <w:p w14:paraId="62D8F74B" w14:textId="77777777" w:rsidR="00EE2382" w:rsidRDefault="00EE2382" w:rsidP="00EE2382">
      <w:bookmarkStart w:id="0" w:name="bmkAanhef"/>
    </w:p>
    <w:p w14:paraId="3893E0B2" w14:textId="77777777" w:rsidR="00EE2382" w:rsidRDefault="00EE2382" w:rsidP="00EE2382"/>
    <w:p w14:paraId="1C1FEE73" w14:textId="77777777" w:rsidR="00EE2382" w:rsidRDefault="00EE2382" w:rsidP="00EE2382"/>
    <w:p w14:paraId="100B66D4" w14:textId="77777777" w:rsidR="00EE2382" w:rsidRDefault="00EE2382" w:rsidP="00EE2382"/>
    <w:p w14:paraId="20749D92" w14:textId="77777777" w:rsidR="00EE2382" w:rsidRDefault="00EE2382" w:rsidP="00EE2382"/>
    <w:p w14:paraId="34CDB99D" w14:textId="77777777" w:rsidR="00EE2382" w:rsidRDefault="00EE2382" w:rsidP="00EE2382"/>
    <w:p w14:paraId="53569220" w14:textId="77777777" w:rsidR="00EE2382" w:rsidRDefault="00EE2382" w:rsidP="00EE2382"/>
    <w:p w14:paraId="3B30CA84" w14:textId="77777777" w:rsidR="00EE2382" w:rsidRDefault="00EE2382" w:rsidP="00EE2382"/>
    <w:p w14:paraId="59D5EB37" w14:textId="77777777" w:rsidR="00EE2382" w:rsidRDefault="00EE2382" w:rsidP="00EE2382"/>
    <w:p w14:paraId="7EAD7ED5" w14:textId="77777777" w:rsidR="00EE2382" w:rsidRDefault="00EE2382" w:rsidP="00EE2382"/>
    <w:p w14:paraId="60E7BA1F" w14:textId="77777777" w:rsidR="00EE2382" w:rsidRDefault="00EE2382" w:rsidP="00EE2382"/>
    <w:p w14:paraId="34DC2422" w14:textId="77777777" w:rsidR="00EE2382" w:rsidRDefault="00EE2382" w:rsidP="00EE2382"/>
    <w:p w14:paraId="7C630344" w14:textId="77777777" w:rsidR="00EE2382" w:rsidRDefault="00EE2382" w:rsidP="00EE2382"/>
    <w:p w14:paraId="7D813C83" w14:textId="77777777" w:rsidR="00EE2382" w:rsidRDefault="00EE2382" w:rsidP="00EE2382"/>
    <w:p w14:paraId="61FB74AF" w14:textId="77777777" w:rsidR="00EE2382" w:rsidRDefault="00EE2382" w:rsidP="00EE2382"/>
    <w:p w14:paraId="06B84A99" w14:textId="77777777" w:rsidR="00EE2382" w:rsidRDefault="00EE2382" w:rsidP="00EE2382"/>
    <w:p w14:paraId="67128E12" w14:textId="77777777" w:rsidR="00EE2382" w:rsidRDefault="00EE2382" w:rsidP="00EE2382"/>
    <w:p w14:paraId="4DE1351C" w14:textId="77777777" w:rsidR="00EE2382" w:rsidRDefault="00EE2382" w:rsidP="00EE2382"/>
    <w:p w14:paraId="53BF5494" w14:textId="77777777" w:rsidR="00EE2382" w:rsidRDefault="00EE2382" w:rsidP="00EE2382"/>
    <w:p w14:paraId="6E1C90B3" w14:textId="77777777" w:rsidR="00EE2382" w:rsidRDefault="00EE2382" w:rsidP="00EE2382"/>
    <w:bookmarkEnd w:id="0"/>
    <w:p w14:paraId="58E8022F" w14:textId="77777777" w:rsidR="00EE2382" w:rsidRDefault="00EE2382" w:rsidP="00EE2382">
      <w:pPr>
        <w:rPr>
          <w:szCs w:val="24"/>
        </w:rPr>
      </w:pPr>
      <w:r w:rsidRPr="001F102E">
        <w:rPr>
          <w:noProof/>
          <w:szCs w:val="24"/>
        </w:rPr>
        <w:drawing>
          <wp:anchor distT="0" distB="0" distL="114300" distR="114300" simplePos="0" relativeHeight="251659264" behindDoc="0" locked="0" layoutInCell="1" allowOverlap="1" wp14:anchorId="3649E915" wp14:editId="4C7FA9B6">
            <wp:simplePos x="0" y="0"/>
            <wp:positionH relativeFrom="page">
              <wp:posOffset>4435475</wp:posOffset>
            </wp:positionH>
            <wp:positionV relativeFrom="page">
              <wp:posOffset>226695</wp:posOffset>
            </wp:positionV>
            <wp:extent cx="1684800" cy="874800"/>
            <wp:effectExtent l="0" t="0" r="0" b="1905"/>
            <wp:wrapNone/>
            <wp:docPr id="33" name="Afbeelding 33" descr="LogoGroningen-RGB-rood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ogoGroningen-RGB-roodzw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84800" cy="87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102E">
        <w:rPr>
          <w:szCs w:val="24"/>
        </w:rPr>
        <w:t>Geachte lezer,</w:t>
      </w:r>
    </w:p>
    <w:p w14:paraId="57A8B949" w14:textId="77777777" w:rsidR="00EE2382" w:rsidRPr="001F102E" w:rsidRDefault="00EE2382" w:rsidP="00EE2382">
      <w:pPr>
        <w:rPr>
          <w:szCs w:val="24"/>
        </w:rPr>
      </w:pPr>
    </w:p>
    <w:p w14:paraId="7ED91B27" w14:textId="77777777" w:rsidR="00EE2382" w:rsidRDefault="00EE2382" w:rsidP="00EE2382">
      <w:pPr>
        <w:pStyle w:val="Ondertekening"/>
        <w:keepNext w:val="0"/>
        <w:keepLines w:val="0"/>
        <w:rPr>
          <w:szCs w:val="24"/>
        </w:rPr>
      </w:pPr>
      <w:r>
        <w:t>Graag informeren wij u over ons besluit om in te stemmen met het verzoek van het Centraal Orgaan opvang asielzoekers (COA) om de locatie</w:t>
      </w:r>
      <w:r w:rsidRPr="001F102E">
        <w:rPr>
          <w:szCs w:val="24"/>
        </w:rPr>
        <w:t xml:space="preserve"> </w:t>
      </w:r>
      <w:proofErr w:type="spellStart"/>
      <w:r w:rsidRPr="001F102E">
        <w:rPr>
          <w:szCs w:val="24"/>
        </w:rPr>
        <w:t>Eemsgolaan</w:t>
      </w:r>
      <w:proofErr w:type="spellEnd"/>
      <w:r w:rsidRPr="001F102E">
        <w:rPr>
          <w:szCs w:val="24"/>
        </w:rPr>
        <w:t xml:space="preserve"> 7 vanaf </w:t>
      </w:r>
      <w:r>
        <w:rPr>
          <w:szCs w:val="24"/>
        </w:rPr>
        <w:t>4</w:t>
      </w:r>
      <w:r w:rsidRPr="001F102E">
        <w:rPr>
          <w:szCs w:val="24"/>
        </w:rPr>
        <w:t xml:space="preserve"> december 2024 in te gaan zetten als noodopvanglocatie voor maximaal 300 asielzoekers voor de duur van een jaar. De noodzakelijke omgevingsvergunning hiervoor is door ons verleend. </w:t>
      </w:r>
      <w:r>
        <w:rPr>
          <w:szCs w:val="24"/>
        </w:rPr>
        <w:t>We hebben gekozen v</w:t>
      </w:r>
      <w:r w:rsidRPr="001F102E">
        <w:rPr>
          <w:szCs w:val="24"/>
        </w:rPr>
        <w:t xml:space="preserve">oor een </w:t>
      </w:r>
      <w:r>
        <w:rPr>
          <w:szCs w:val="24"/>
        </w:rPr>
        <w:t>gefaseerde</w:t>
      </w:r>
      <w:r w:rsidRPr="001F102E">
        <w:rPr>
          <w:szCs w:val="24"/>
        </w:rPr>
        <w:t xml:space="preserve"> instroom waarbij de eerste 150 bewoners begin december hun intrek gaan nemen</w:t>
      </w:r>
      <w:r>
        <w:rPr>
          <w:szCs w:val="24"/>
        </w:rPr>
        <w:t xml:space="preserve">, </w:t>
      </w:r>
      <w:r>
        <w:t>gevolgd door de resterende groep in januari</w:t>
      </w:r>
      <w:r w:rsidRPr="001F102E">
        <w:rPr>
          <w:szCs w:val="24"/>
        </w:rPr>
        <w:t xml:space="preserve">. Dit besluit is tot stand gekomen na een zorgvuldig proces </w:t>
      </w:r>
      <w:r w:rsidRPr="00A77FF1">
        <w:rPr>
          <w:szCs w:val="24"/>
        </w:rPr>
        <w:t xml:space="preserve">waarin we de Wijkraad Hoogkerk en Bedrijvenvereniging West hebben gevraagd om ons van advies te voorzien op het concept collegevoorstel om zodoende een weloverwogen besluit te kunnen nemen. In het voortraject is eveneens gesproken met omwonenden van De Kring, de Buitenhof en Hoogkerk. Wij </w:t>
      </w:r>
      <w:r w:rsidRPr="00A77FF1">
        <w:t>danken hen allen voor hun betrokkenheid. We hebben de ontvangen aanbevelingen met belangstelling bestudeerd</w:t>
      </w:r>
      <w:r w:rsidRPr="00A77FF1">
        <w:rPr>
          <w:szCs w:val="24"/>
        </w:rPr>
        <w:t xml:space="preserve">. </w:t>
      </w:r>
      <w:r w:rsidRPr="00A77FF1">
        <w:t>Ook na ingebruikname van de opvanglocatie zullen wij het contact onderhouden om ervaringen en vervolgstappen met betrekking tot een regulier asielzoekerscentrum (AZC) te bespreken</w:t>
      </w:r>
      <w:r>
        <w:t>.</w:t>
      </w:r>
      <w:r w:rsidRPr="001F102E">
        <w:rPr>
          <w:szCs w:val="24"/>
        </w:rPr>
        <w:br/>
      </w:r>
      <w:r w:rsidRPr="001F102E">
        <w:rPr>
          <w:szCs w:val="24"/>
        </w:rPr>
        <w:br/>
      </w:r>
      <w:r w:rsidRPr="001F102E">
        <w:rPr>
          <w:b/>
          <w:bCs/>
          <w:szCs w:val="24"/>
        </w:rPr>
        <w:t>Tijdelijke opvang</w:t>
      </w:r>
      <w:r w:rsidRPr="001F102E">
        <w:rPr>
          <w:b/>
          <w:bCs/>
          <w:szCs w:val="24"/>
        </w:rPr>
        <w:br/>
      </w:r>
      <w:r w:rsidRPr="001F102E">
        <w:rPr>
          <w:szCs w:val="24"/>
        </w:rPr>
        <w:t xml:space="preserve">We hebben besloten het pand aan de </w:t>
      </w:r>
      <w:proofErr w:type="spellStart"/>
      <w:r w:rsidRPr="001F102E">
        <w:rPr>
          <w:szCs w:val="24"/>
        </w:rPr>
        <w:t>Eemsgolaan</w:t>
      </w:r>
      <w:proofErr w:type="spellEnd"/>
      <w:r w:rsidRPr="001F102E">
        <w:rPr>
          <w:szCs w:val="24"/>
        </w:rPr>
        <w:t xml:space="preserve"> eerst voor de duur van een jaar in te zetten als noodopvanglocatie. In dit eerste jaar wordt een intensief participatietraject volgens ‘de Nieuwe Route’ uitgevoerd onder begeleiding van een onafhankelijke adviseur </w:t>
      </w:r>
      <w:r w:rsidRPr="001F102E">
        <w:rPr>
          <w:rStyle w:val="Voetnootmarkering"/>
          <w:szCs w:val="24"/>
        </w:rPr>
        <w:footnoteReference w:id="1"/>
      </w:r>
      <w:r w:rsidRPr="001F102E">
        <w:rPr>
          <w:szCs w:val="24"/>
        </w:rPr>
        <w:t xml:space="preserve">. </w:t>
      </w:r>
      <w:r>
        <w:t>Dit participatietraject dient ter voorbereiding op de overgang van de locatie naar een regulier AZC voor een periode van negen jaar, waarvoor de gemeente een bedrag van €20.000 beschikbaar stelt</w:t>
      </w:r>
      <w:r>
        <w:rPr>
          <w:szCs w:val="24"/>
        </w:rPr>
        <w:t xml:space="preserve">. </w:t>
      </w:r>
      <w:r w:rsidRPr="001F102E">
        <w:rPr>
          <w:szCs w:val="24"/>
        </w:rPr>
        <w:t xml:space="preserve">Na een periode van zes maanden na de opening van de noodopvang, zal </w:t>
      </w:r>
      <w:r>
        <w:rPr>
          <w:szCs w:val="24"/>
        </w:rPr>
        <w:t xml:space="preserve">ook </w:t>
      </w:r>
      <w:r w:rsidRPr="001F102E">
        <w:rPr>
          <w:szCs w:val="24"/>
        </w:rPr>
        <w:t>een evaluatie plaatsvinden</w:t>
      </w:r>
      <w:r>
        <w:rPr>
          <w:szCs w:val="24"/>
        </w:rPr>
        <w:t xml:space="preserve">, </w:t>
      </w:r>
      <w:r>
        <w:t xml:space="preserve">waarin onder andere de </w:t>
      </w:r>
      <w:r>
        <w:lastRenderedPageBreak/>
        <w:t>ervaringen van de asielzoekers, externe partners en de directe omgeving worden meegenomen.</w:t>
      </w:r>
    </w:p>
    <w:p w14:paraId="69F3AE1D" w14:textId="77777777" w:rsidR="00EE2382" w:rsidRPr="001F102E" w:rsidRDefault="00EE2382" w:rsidP="00EE2382">
      <w:pPr>
        <w:pStyle w:val="Ondertekening"/>
        <w:keepNext w:val="0"/>
        <w:keepLines w:val="0"/>
        <w:rPr>
          <w:szCs w:val="24"/>
        </w:rPr>
      </w:pPr>
    </w:p>
    <w:p w14:paraId="446B6D9F" w14:textId="77777777" w:rsidR="00EE2382" w:rsidRDefault="00EE2382" w:rsidP="00EE2382">
      <w:pPr>
        <w:rPr>
          <w:szCs w:val="24"/>
        </w:rPr>
      </w:pPr>
      <w:r w:rsidRPr="001F102E">
        <w:rPr>
          <w:b/>
          <w:bCs/>
          <w:szCs w:val="24"/>
        </w:rPr>
        <w:t>Regulier AZC</w:t>
      </w:r>
      <w:r w:rsidRPr="001F102E">
        <w:rPr>
          <w:szCs w:val="24"/>
        </w:rPr>
        <w:br/>
      </w:r>
      <w:r w:rsidRPr="001F102E">
        <w:rPr>
          <w:rFonts w:eastAsiaTheme="minorHAnsi"/>
          <w:szCs w:val="24"/>
          <w:lang w:eastAsia="en-US"/>
        </w:rPr>
        <w:t xml:space="preserve">De gemeente Groningen heeft een opvangopgave van 960 asielzoekers. </w:t>
      </w:r>
      <w:r w:rsidRPr="001F102E">
        <w:rPr>
          <w:szCs w:val="24"/>
        </w:rPr>
        <w:t>Om aan de vereiste aantallen te voldoen, moeten er enkele duurzame opvanglocaties worden gerealiseerd in onze gemeente. Met de uitbreiding van de Sint Petersburgweg effectueren we al een groot deel van onze opgave, te weten 600 asielzoekers, waarvan 50 minderjarige asielzoekers (</w:t>
      </w:r>
      <w:proofErr w:type="spellStart"/>
      <w:r w:rsidRPr="001F102E">
        <w:rPr>
          <w:szCs w:val="24"/>
        </w:rPr>
        <w:t>AMV’s</w:t>
      </w:r>
      <w:proofErr w:type="spellEnd"/>
      <w:r w:rsidRPr="001F102E">
        <w:rPr>
          <w:szCs w:val="24"/>
        </w:rPr>
        <w:t xml:space="preserve">). Wij zien de locatie aan de </w:t>
      </w:r>
      <w:proofErr w:type="spellStart"/>
      <w:r w:rsidRPr="001F102E">
        <w:rPr>
          <w:szCs w:val="24"/>
        </w:rPr>
        <w:t>Eemsgolaan</w:t>
      </w:r>
      <w:proofErr w:type="spellEnd"/>
      <w:r w:rsidRPr="001F102E">
        <w:rPr>
          <w:szCs w:val="24"/>
        </w:rPr>
        <w:t xml:space="preserve"> als tweede geschikte locatie om een regulier AZC te gaan vestigen. Indien de situatie dat toelaat, gaan de overige noodopvanglocaties in de gemeente sluiten, zodra de duurzame opvanglocaties operationeel zijn. Daarom hebben we eveneens een principebesluit genomen om de noodopvanglocatie na het eerste jaar om te zetten naar een regulier AZC </w:t>
      </w:r>
      <w:r>
        <w:t>voor een periode van negen jaar</w:t>
      </w:r>
      <w:r w:rsidRPr="001F102E">
        <w:rPr>
          <w:szCs w:val="24"/>
        </w:rPr>
        <w:t>. Hier is te zijner tijd een nieuw besluit en een nieuwe vergunning voor nodig. Dit principebesluit was nu al noodzakelijk, omdat we hier met het eerder aangehaalde participatietraject al op voorsorteren.</w:t>
      </w:r>
      <w:r>
        <w:rPr>
          <w:szCs w:val="24"/>
        </w:rPr>
        <w:t xml:space="preserve"> De opgestelde kaders voor dat participatietraject vindt u terug in de bijlage.</w:t>
      </w:r>
    </w:p>
    <w:p w14:paraId="6859337E" w14:textId="77777777" w:rsidR="00EE2382" w:rsidRDefault="00EE2382" w:rsidP="00EE2382">
      <w:pPr>
        <w:rPr>
          <w:szCs w:val="24"/>
        </w:rPr>
      </w:pPr>
    </w:p>
    <w:p w14:paraId="41195498" w14:textId="77777777" w:rsidR="00EE2382" w:rsidRDefault="00EE2382" w:rsidP="00EE2382">
      <w:pPr>
        <w:autoSpaceDE w:val="0"/>
        <w:autoSpaceDN w:val="0"/>
        <w:adjustRightInd w:val="0"/>
        <w:rPr>
          <w:szCs w:val="24"/>
        </w:rPr>
      </w:pPr>
      <w:r w:rsidRPr="001F102E">
        <w:rPr>
          <w:b/>
          <w:bCs/>
          <w:szCs w:val="24"/>
        </w:rPr>
        <w:t>Omgevingsvergunning</w:t>
      </w:r>
      <w:r w:rsidRPr="001F102E">
        <w:rPr>
          <w:b/>
          <w:bCs/>
          <w:szCs w:val="24"/>
        </w:rPr>
        <w:br/>
      </w:r>
      <w:r w:rsidRPr="001F102E">
        <w:rPr>
          <w:rStyle w:val="cf01"/>
          <w:rFonts w:ascii="Times New Roman" w:hAnsi="Times New Roman" w:cs="Times New Roman"/>
          <w:sz w:val="24"/>
          <w:szCs w:val="24"/>
        </w:rPr>
        <w:t xml:space="preserve">Het (tijdelijk) opvangen van asielzoekers in het bedrijfsgebouw aan de </w:t>
      </w:r>
      <w:proofErr w:type="spellStart"/>
      <w:r w:rsidRPr="001F102E">
        <w:rPr>
          <w:rStyle w:val="cf01"/>
          <w:rFonts w:ascii="Times New Roman" w:hAnsi="Times New Roman" w:cs="Times New Roman"/>
          <w:sz w:val="24"/>
          <w:szCs w:val="24"/>
        </w:rPr>
        <w:t>Eemsgolaan</w:t>
      </w:r>
      <w:proofErr w:type="spellEnd"/>
      <w:r w:rsidRPr="001F102E">
        <w:rPr>
          <w:rStyle w:val="cf01"/>
          <w:rFonts w:ascii="Times New Roman" w:hAnsi="Times New Roman" w:cs="Times New Roman"/>
          <w:sz w:val="24"/>
          <w:szCs w:val="24"/>
        </w:rPr>
        <w:t xml:space="preserve"> 7 is in strijd met </w:t>
      </w:r>
      <w:r w:rsidRPr="001F102E">
        <w:rPr>
          <w:rStyle w:val="cf11"/>
          <w:rFonts w:ascii="Times New Roman" w:hAnsi="Times New Roman" w:cs="Times New Roman"/>
          <w:sz w:val="24"/>
          <w:szCs w:val="24"/>
        </w:rPr>
        <w:t xml:space="preserve">het ‘omgevingsplan gemeente Groningen’ en het onderliggend bestemmingsplan Kranenburg-Stadspark. Om de functiewijziging tot een (tijdelijke) opvanglocatie voor asielzoekers mogelijk te maken is een omgevingsvergunning voor een </w:t>
      </w:r>
      <w:proofErr w:type="spellStart"/>
      <w:r w:rsidRPr="001F102E">
        <w:rPr>
          <w:rStyle w:val="cf11"/>
          <w:rFonts w:ascii="Times New Roman" w:hAnsi="Times New Roman" w:cs="Times New Roman"/>
          <w:sz w:val="24"/>
          <w:szCs w:val="24"/>
        </w:rPr>
        <w:t>Buitenplanse</w:t>
      </w:r>
      <w:proofErr w:type="spellEnd"/>
      <w:r w:rsidRPr="001F102E">
        <w:rPr>
          <w:rStyle w:val="cf11"/>
          <w:rFonts w:ascii="Times New Roman" w:hAnsi="Times New Roman" w:cs="Times New Roman"/>
          <w:sz w:val="24"/>
          <w:szCs w:val="24"/>
        </w:rPr>
        <w:t xml:space="preserve"> Omgevingsplanactiviteit (hierna BOPA) benodigd.</w:t>
      </w:r>
      <w:r w:rsidRPr="001F102E">
        <w:rPr>
          <w:szCs w:val="24"/>
        </w:rPr>
        <w:t xml:space="preserve"> Het college heeft dus besloten deze te verlenen. De urgentie voor extra opvangplaatsen voor asielzoekers is erg hoog in Nederland, omdat er momenteel sprake is van een grote instroom van asielzoekers</w:t>
      </w:r>
      <w:r>
        <w:rPr>
          <w:szCs w:val="24"/>
        </w:rPr>
        <w:t xml:space="preserve"> en er weinig doorstroom plaatsvindt van statushouders naar woningen</w:t>
      </w:r>
      <w:r w:rsidRPr="001F102E">
        <w:rPr>
          <w:szCs w:val="24"/>
        </w:rPr>
        <w:t xml:space="preserve">. Stedenbouwkundig gezien is er geen bezwaar tegen het wijzigen van de bedrijventerrein functie naar een tijdelijke opvanglocatie voor asielzoekers. </w:t>
      </w:r>
      <w:r>
        <w:t>Deze tijdelijke opvang past tevens bij twee uitgangspunten uit de omgevingsvisie: het ondersteunen van bijzondere doelgroepen, zoals vluchtelingen, en het streven naar gemengde stedelijke gebieden</w:t>
      </w:r>
      <w:r w:rsidRPr="001F102E">
        <w:rPr>
          <w:szCs w:val="24"/>
        </w:rPr>
        <w:t xml:space="preserve">. Na de publicatie van het besluit, is er zes weken de tijd om </w:t>
      </w:r>
      <w:r>
        <w:rPr>
          <w:szCs w:val="24"/>
        </w:rPr>
        <w:t>eventueel</w:t>
      </w:r>
      <w:r w:rsidRPr="001F102E">
        <w:rPr>
          <w:szCs w:val="24"/>
        </w:rPr>
        <w:t xml:space="preserve"> bezwaar te maken</w:t>
      </w:r>
      <w:r>
        <w:rPr>
          <w:szCs w:val="24"/>
        </w:rPr>
        <w:t xml:space="preserve"> en een voorlopige voorziening aan te vragen</w:t>
      </w:r>
      <w:r w:rsidRPr="001F102E">
        <w:rPr>
          <w:szCs w:val="24"/>
        </w:rPr>
        <w:t>. Met het COA is afgesproken dat we nog</w:t>
      </w:r>
      <w:r>
        <w:rPr>
          <w:szCs w:val="24"/>
        </w:rPr>
        <w:t xml:space="preserve"> </w:t>
      </w:r>
      <w:r w:rsidRPr="001F102E">
        <w:rPr>
          <w:szCs w:val="24"/>
        </w:rPr>
        <w:t>twee weken wachten met</w:t>
      </w:r>
      <w:r>
        <w:rPr>
          <w:szCs w:val="24"/>
        </w:rPr>
        <w:t xml:space="preserve"> de</w:t>
      </w:r>
      <w:r w:rsidRPr="001F102E">
        <w:rPr>
          <w:szCs w:val="24"/>
        </w:rPr>
        <w:t xml:space="preserve"> </w:t>
      </w:r>
      <w:proofErr w:type="spellStart"/>
      <w:r w:rsidRPr="001F102E">
        <w:rPr>
          <w:szCs w:val="24"/>
        </w:rPr>
        <w:t>inhuizing</w:t>
      </w:r>
      <w:proofErr w:type="spellEnd"/>
      <w:r w:rsidRPr="001F102E">
        <w:rPr>
          <w:szCs w:val="24"/>
        </w:rPr>
        <w:t xml:space="preserve"> om </w:t>
      </w:r>
      <w:r>
        <w:rPr>
          <w:szCs w:val="24"/>
        </w:rPr>
        <w:t xml:space="preserve">belanghebbenden </w:t>
      </w:r>
      <w:r w:rsidRPr="001F102E">
        <w:rPr>
          <w:szCs w:val="24"/>
        </w:rPr>
        <w:t xml:space="preserve">zo </w:t>
      </w:r>
      <w:r>
        <w:rPr>
          <w:szCs w:val="24"/>
        </w:rPr>
        <w:t>in de gelegenheid te stellen</w:t>
      </w:r>
      <w:r w:rsidRPr="001F102E">
        <w:rPr>
          <w:szCs w:val="24"/>
        </w:rPr>
        <w:t xml:space="preserve"> om </w:t>
      </w:r>
      <w:r>
        <w:rPr>
          <w:szCs w:val="24"/>
        </w:rPr>
        <w:t xml:space="preserve">bezwaar en </w:t>
      </w:r>
      <w:r w:rsidRPr="001F102E">
        <w:rPr>
          <w:szCs w:val="24"/>
        </w:rPr>
        <w:t>een voorlopige voorziening in te dienen als die behoefte bestaat.</w:t>
      </w:r>
      <w:r>
        <w:rPr>
          <w:szCs w:val="24"/>
        </w:rPr>
        <w:t xml:space="preserve"> Het COA kan vanaf 4 december overgaan tot het inhuizen van de eerste 150 asielzoekers.</w:t>
      </w:r>
    </w:p>
    <w:p w14:paraId="03CF33AC" w14:textId="77777777" w:rsidR="00EE2382" w:rsidRDefault="00EE2382" w:rsidP="00EE2382">
      <w:pPr>
        <w:autoSpaceDE w:val="0"/>
        <w:autoSpaceDN w:val="0"/>
        <w:adjustRightInd w:val="0"/>
        <w:rPr>
          <w:szCs w:val="24"/>
        </w:rPr>
      </w:pPr>
      <w:r w:rsidRPr="001F102E">
        <w:rPr>
          <w:szCs w:val="24"/>
        </w:rPr>
        <w:br/>
      </w:r>
      <w:r w:rsidRPr="001F102E">
        <w:rPr>
          <w:b/>
          <w:bCs/>
          <w:szCs w:val="24"/>
        </w:rPr>
        <w:t>Adviezen Wijkraad Hoogkerk en Bedrijvenvereniging West</w:t>
      </w:r>
      <w:r w:rsidRPr="001F102E">
        <w:rPr>
          <w:b/>
          <w:bCs/>
          <w:szCs w:val="24"/>
        </w:rPr>
        <w:br/>
      </w:r>
      <w:r w:rsidRPr="001F102E">
        <w:rPr>
          <w:szCs w:val="24"/>
        </w:rPr>
        <w:t xml:space="preserve">De afgelopen maanden is er regelmatig zowel bestuurlijk als ambtelijk contact geweest met omwonenden, de Wijkraad Hoogkerk en </w:t>
      </w:r>
      <w:r>
        <w:rPr>
          <w:szCs w:val="24"/>
        </w:rPr>
        <w:t>B</w:t>
      </w:r>
      <w:r w:rsidRPr="001F102E">
        <w:rPr>
          <w:szCs w:val="24"/>
        </w:rPr>
        <w:t xml:space="preserve">edrijvenvereniging West. </w:t>
      </w:r>
      <w:r>
        <w:t>Wij danken hen opnieuw voor hun betrokkenheid en zien terug op een constructieve dialoog en samenwerking</w:t>
      </w:r>
      <w:r w:rsidRPr="001F102E">
        <w:rPr>
          <w:szCs w:val="24"/>
        </w:rPr>
        <w:t xml:space="preserve">. </w:t>
      </w:r>
      <w:r>
        <w:t xml:space="preserve">Op 17 oktober 2024 hebben wij, conform eerdere afspraken, het concept-collegevoorstel en relevante bijlagen met de Wijkraad Hoogkerk en Bedrijvenvereniging West gedeeld en om hun advies gevraagd. Dit voorstel is tot stand gekomen met hun eerdere input, betreffende onder andere de populatie, gefaseerde instroom, de inzet van Bureau Beke, een integraal veiligheidsplan, en het participatietraject. De ontvangen adviezen en onze schriftelijke reactie daarop zijn als bijlage toegevoegd. Aangezien het advies van de Wijkraad </w:t>
      </w:r>
      <w:r>
        <w:lastRenderedPageBreak/>
        <w:t>omvangrijk is, verwijzen wij u voor details graag naar deze bijlage. In deze collegebrief lichten wij een tweetal punten uit:</w:t>
      </w:r>
    </w:p>
    <w:p w14:paraId="3EFE08E7" w14:textId="77777777" w:rsidR="00EE2382" w:rsidRPr="001F102E" w:rsidRDefault="00EE2382" w:rsidP="00EE2382">
      <w:pPr>
        <w:autoSpaceDE w:val="0"/>
        <w:autoSpaceDN w:val="0"/>
        <w:adjustRightInd w:val="0"/>
        <w:rPr>
          <w:szCs w:val="24"/>
        </w:rPr>
      </w:pPr>
    </w:p>
    <w:p w14:paraId="32A86155" w14:textId="77777777" w:rsidR="00EE2382" w:rsidRDefault="00EE2382" w:rsidP="00EE2382">
      <w:pPr>
        <w:pStyle w:val="Lijstalinea"/>
        <w:numPr>
          <w:ilvl w:val="0"/>
          <w:numId w:val="4"/>
        </w:numPr>
        <w:autoSpaceDE w:val="0"/>
        <w:autoSpaceDN w:val="0"/>
        <w:adjustRightInd w:val="0"/>
        <w:rPr>
          <w:sz w:val="24"/>
        </w:rPr>
      </w:pPr>
      <w:r w:rsidRPr="000475CC">
        <w:rPr>
          <w:sz w:val="24"/>
        </w:rPr>
        <w:t xml:space="preserve">De veiligheid en het gevoel van veiligheid zijn nadrukkelijke aandachtspunten. Bedrijvenvereniging West roept op tot maatwerk in het veiligheidsplan en de Wijkraad Hoogkerk ziet graag dat de </w:t>
      </w:r>
      <w:proofErr w:type="spellStart"/>
      <w:r w:rsidRPr="000475CC">
        <w:rPr>
          <w:sz w:val="24"/>
        </w:rPr>
        <w:t>risico-analyse</w:t>
      </w:r>
      <w:proofErr w:type="spellEnd"/>
      <w:r w:rsidRPr="000475CC">
        <w:rPr>
          <w:sz w:val="24"/>
        </w:rPr>
        <w:t xml:space="preserve"> van Bureau Beke wordt afgewacht alvorens de eerste asielzoekers naar de </w:t>
      </w:r>
      <w:proofErr w:type="spellStart"/>
      <w:r w:rsidRPr="000475CC">
        <w:rPr>
          <w:sz w:val="24"/>
        </w:rPr>
        <w:t>Eemsgolaan</w:t>
      </w:r>
      <w:proofErr w:type="spellEnd"/>
      <w:r w:rsidRPr="000475CC">
        <w:rPr>
          <w:sz w:val="24"/>
        </w:rPr>
        <w:t xml:space="preserve"> verhuizen. Daarnaast vraagt de Wijkraad om duidelijkheid over de wijze van handhaving. Het veiligheidsplan, opgesteld in samenwerking met het COA, de gemeente en de politie, vormt de basis voor de veiligheid op en rond de locatie en is mede op advies van de Wijkraad als voorschrift verbonden aan de vergunning. Dit plan wordt vastgesteld in de Lokale Driehoek. Het college zal actief handhaven op het naleven van het voorschrift over het veiligheidsplan. Bureau Beke voert aanvullend een uitgebreide risicoanalyse uit, waarbij de wijk actief betrokken zal worden door gesprekken met inwoners, belangenverenigingen en lokale ondernemers. Hoewel de huidige </w:t>
      </w:r>
      <w:proofErr w:type="spellStart"/>
      <w:r w:rsidRPr="000475CC">
        <w:rPr>
          <w:sz w:val="24"/>
        </w:rPr>
        <w:t>asielopvangcrisis</w:t>
      </w:r>
      <w:proofErr w:type="spellEnd"/>
      <w:r w:rsidRPr="000475CC">
        <w:rPr>
          <w:sz w:val="24"/>
        </w:rPr>
        <w:t xml:space="preserve"> ons noopt om deze analyse niet volledig af te wachten, achten wij deze risicoanalyse bovendien juist waardevol ná de </w:t>
      </w:r>
      <w:proofErr w:type="spellStart"/>
      <w:r w:rsidRPr="000475CC">
        <w:rPr>
          <w:sz w:val="24"/>
        </w:rPr>
        <w:t>inhuizing</w:t>
      </w:r>
      <w:proofErr w:type="spellEnd"/>
      <w:r w:rsidRPr="000475CC">
        <w:rPr>
          <w:sz w:val="24"/>
        </w:rPr>
        <w:t xml:space="preserve"> zodat ervaringen uit de praktijk met de doelgroep kunnen worden meegenomen in de aanbevelingen. Tijdens een eerste inspectie door Bureau Beke zijn reeds twee praktische aanbevelingen gedaan met betrekking tot hekwerk. De betrokken partijen (</w:t>
      </w:r>
      <w:proofErr w:type="spellStart"/>
      <w:r w:rsidRPr="000475CC">
        <w:rPr>
          <w:sz w:val="24"/>
        </w:rPr>
        <w:t>Kids</w:t>
      </w:r>
      <w:proofErr w:type="spellEnd"/>
      <w:r w:rsidRPr="000475CC">
        <w:rPr>
          <w:sz w:val="24"/>
        </w:rPr>
        <w:t xml:space="preserve"> United en de inwoners van de Kring) zijn inmiddels benaderd om deze aanbevelingen uit te voeren. Het hekwerk zal naar verwachting in de eerste week van december worden geplaatst, tegelijk met de </w:t>
      </w:r>
      <w:proofErr w:type="spellStart"/>
      <w:r w:rsidRPr="000475CC">
        <w:rPr>
          <w:sz w:val="24"/>
        </w:rPr>
        <w:t>inhuizing</w:t>
      </w:r>
      <w:proofErr w:type="spellEnd"/>
      <w:r w:rsidRPr="000475CC">
        <w:rPr>
          <w:sz w:val="24"/>
        </w:rPr>
        <w:t xml:space="preserve"> van de eerste bewoners.</w:t>
      </w:r>
    </w:p>
    <w:p w14:paraId="00AAC470" w14:textId="77777777" w:rsidR="00EE2382" w:rsidRDefault="00EE2382" w:rsidP="00EE2382">
      <w:pPr>
        <w:autoSpaceDE w:val="0"/>
        <w:autoSpaceDN w:val="0"/>
        <w:adjustRightInd w:val="0"/>
      </w:pPr>
    </w:p>
    <w:p w14:paraId="323EA5E6" w14:textId="77777777" w:rsidR="00EE2382" w:rsidRPr="00995661" w:rsidRDefault="00EE2382" w:rsidP="00EE2382">
      <w:pPr>
        <w:pStyle w:val="Lijstalinea"/>
        <w:numPr>
          <w:ilvl w:val="0"/>
          <w:numId w:val="4"/>
        </w:numPr>
        <w:autoSpaceDE w:val="0"/>
        <w:autoSpaceDN w:val="0"/>
        <w:adjustRightInd w:val="0"/>
        <w:rPr>
          <w:sz w:val="24"/>
        </w:rPr>
      </w:pPr>
      <w:r w:rsidRPr="00807DC0">
        <w:rPr>
          <w:sz w:val="24"/>
        </w:rPr>
        <w:t>Zowel de Wijkraad Hoogkerk als de Bedrijvenvereniging West zien graag dat er nu nog geen principebesluit wordt genomen. Het principebesluit betreft echter geen formeel besluit in de zin van de Algemene wet bestuursrecht (</w:t>
      </w:r>
      <w:proofErr w:type="spellStart"/>
      <w:r w:rsidRPr="00807DC0">
        <w:rPr>
          <w:sz w:val="24"/>
        </w:rPr>
        <w:t>Awb</w:t>
      </w:r>
      <w:proofErr w:type="spellEnd"/>
      <w:r w:rsidRPr="00807DC0">
        <w:rPr>
          <w:sz w:val="24"/>
        </w:rPr>
        <w:t>)</w:t>
      </w:r>
      <w:r>
        <w:rPr>
          <w:sz w:val="24"/>
        </w:rPr>
        <w:t>, maar is een voorwaarde voor participatieproces</w:t>
      </w:r>
      <w:r w:rsidRPr="00807DC0">
        <w:rPr>
          <w:sz w:val="24"/>
        </w:rPr>
        <w:t>. Zoals beschreven in de aanpak van de Nieuwe Route, vereist deze aanpak dat de kaders vooraf worden vastgesteld. Een van die kaders is de mogelijke inzet van de locatie als regulier AZC voor een periode van negen jaar. Deze kaders definiëren de ruimte waarin betrokkenen gedurende het participatieproces keuzes kunnen maken en invloed kunnen uitoefenen. Daarnaast is toegezegd dat na een half jaar noodopvang een evaluatie zal plaatsvinden. Op basis van deze evaluatie zal pas een definitief besluit worden genomen over de transitie naar een regulier AZC. Deze waarborgen en evaluatiemomenten bieden zowel de gemeente als de betrokken partijen voldoende mogelijkheden om de plannen tijdig te toetsen en bij te stellen indien nodig. Voor de uiteindelijke overgang naar een regulier AZC zal op een later moment een zelfstandig besluitvormingsproces worden doorlopen.</w:t>
      </w:r>
    </w:p>
    <w:p w14:paraId="286F3EA6" w14:textId="77777777" w:rsidR="00EE2382" w:rsidRDefault="00EE2382" w:rsidP="00EE2382">
      <w:pPr>
        <w:rPr>
          <w:b/>
          <w:bCs/>
        </w:rPr>
      </w:pPr>
    </w:p>
    <w:p w14:paraId="4EC34055" w14:textId="77777777" w:rsidR="00EE2382" w:rsidRDefault="00EE2382" w:rsidP="00EE2382">
      <w:pPr>
        <w:rPr>
          <w:b/>
          <w:bCs/>
        </w:rPr>
      </w:pPr>
      <w:r>
        <w:rPr>
          <w:b/>
          <w:bCs/>
        </w:rPr>
        <w:t xml:space="preserve">Communicatie </w:t>
      </w:r>
    </w:p>
    <w:p w14:paraId="3387CCCB" w14:textId="77777777" w:rsidR="00EE2382" w:rsidRPr="00807DC0" w:rsidRDefault="00EE2382" w:rsidP="00EE2382">
      <w:pPr>
        <w:rPr>
          <w:b/>
          <w:bCs/>
        </w:rPr>
      </w:pPr>
      <w:r>
        <w:rPr>
          <w:szCs w:val="24"/>
        </w:rPr>
        <w:t xml:space="preserve">We hebben de volgende </w:t>
      </w:r>
      <w:r w:rsidRPr="00807DC0">
        <w:rPr>
          <w:szCs w:val="24"/>
        </w:rPr>
        <w:t>communicatie georganiseerd om bewoners en</w:t>
      </w:r>
      <w:r>
        <w:rPr>
          <w:szCs w:val="24"/>
        </w:rPr>
        <w:t xml:space="preserve"> b</w:t>
      </w:r>
      <w:r w:rsidRPr="00807DC0">
        <w:rPr>
          <w:szCs w:val="24"/>
        </w:rPr>
        <w:t>elanghebbenden goed te informeren:</w:t>
      </w:r>
    </w:p>
    <w:p w14:paraId="7BC843AF" w14:textId="77777777" w:rsidR="00EE2382" w:rsidRPr="00807DC0" w:rsidRDefault="00EE2382" w:rsidP="00EE2382">
      <w:pPr>
        <w:numPr>
          <w:ilvl w:val="0"/>
          <w:numId w:val="5"/>
        </w:numPr>
        <w:spacing w:before="100" w:beforeAutospacing="1" w:after="100" w:afterAutospacing="1"/>
        <w:rPr>
          <w:szCs w:val="24"/>
        </w:rPr>
      </w:pPr>
      <w:r w:rsidRPr="00807DC0">
        <w:rPr>
          <w:b/>
          <w:bCs/>
          <w:szCs w:val="24"/>
        </w:rPr>
        <w:t>Interview</w:t>
      </w:r>
      <w:r w:rsidRPr="00807DC0">
        <w:rPr>
          <w:szCs w:val="24"/>
        </w:rPr>
        <w:t xml:space="preserve">: Een gezamenlijk interview met vertegenwoordigers van het COA en de gemeente zal worden gepubliceerd in </w:t>
      </w:r>
      <w:r>
        <w:rPr>
          <w:szCs w:val="24"/>
        </w:rPr>
        <w:t xml:space="preserve">Dagblad van het Noorden </w:t>
      </w:r>
      <w:r w:rsidRPr="00807DC0">
        <w:rPr>
          <w:szCs w:val="24"/>
        </w:rPr>
        <w:t>om het besluit toe te lichten.</w:t>
      </w:r>
    </w:p>
    <w:p w14:paraId="4CD99CC4" w14:textId="77777777" w:rsidR="00EE2382" w:rsidRPr="00807DC0" w:rsidRDefault="00EE2382" w:rsidP="00EE2382">
      <w:pPr>
        <w:numPr>
          <w:ilvl w:val="0"/>
          <w:numId w:val="5"/>
        </w:numPr>
        <w:spacing w:before="100" w:beforeAutospacing="1" w:after="100" w:afterAutospacing="1"/>
        <w:rPr>
          <w:szCs w:val="24"/>
        </w:rPr>
      </w:pPr>
      <w:r w:rsidRPr="00807DC0">
        <w:rPr>
          <w:b/>
          <w:bCs/>
          <w:szCs w:val="24"/>
        </w:rPr>
        <w:t>Persconferentie</w:t>
      </w:r>
      <w:r w:rsidRPr="00807DC0">
        <w:rPr>
          <w:szCs w:val="24"/>
        </w:rPr>
        <w:t>: Tijdens de reguliere persconferentie zal een toelichting op het besluit worden gegeven, met ruimte voor vragen van de pers.</w:t>
      </w:r>
    </w:p>
    <w:p w14:paraId="535FDF59" w14:textId="77777777" w:rsidR="00EE2382" w:rsidRPr="00807DC0" w:rsidRDefault="00EE2382" w:rsidP="00EE2382">
      <w:pPr>
        <w:numPr>
          <w:ilvl w:val="0"/>
          <w:numId w:val="5"/>
        </w:numPr>
        <w:spacing w:before="100" w:beforeAutospacing="1" w:after="100" w:afterAutospacing="1"/>
        <w:rPr>
          <w:szCs w:val="24"/>
        </w:rPr>
      </w:pPr>
      <w:r w:rsidRPr="00807DC0">
        <w:rPr>
          <w:b/>
          <w:bCs/>
          <w:szCs w:val="24"/>
        </w:rPr>
        <w:lastRenderedPageBreak/>
        <w:t>Aanpassing Q&amp;A op de gemeentelijke website</w:t>
      </w:r>
      <w:r w:rsidRPr="00807DC0">
        <w:rPr>
          <w:szCs w:val="24"/>
        </w:rPr>
        <w:t xml:space="preserve">: De Q&amp;A-sectie op de website van de gemeente wordt bijgewerkt om </w:t>
      </w:r>
      <w:proofErr w:type="spellStart"/>
      <w:r w:rsidRPr="00807DC0">
        <w:rPr>
          <w:szCs w:val="24"/>
        </w:rPr>
        <w:t>veelgestelde</w:t>
      </w:r>
      <w:proofErr w:type="spellEnd"/>
      <w:r w:rsidRPr="00807DC0">
        <w:rPr>
          <w:szCs w:val="24"/>
        </w:rPr>
        <w:t xml:space="preserve"> vragen rondom de opvanglocatie en het besluit te beantwoorden.</w:t>
      </w:r>
    </w:p>
    <w:p w14:paraId="20083280" w14:textId="77777777" w:rsidR="00EE2382" w:rsidRPr="00807DC0" w:rsidRDefault="00EE2382" w:rsidP="00EE2382">
      <w:pPr>
        <w:numPr>
          <w:ilvl w:val="0"/>
          <w:numId w:val="5"/>
        </w:numPr>
        <w:spacing w:before="100" w:beforeAutospacing="1" w:after="100" w:afterAutospacing="1"/>
        <w:rPr>
          <w:szCs w:val="24"/>
        </w:rPr>
      </w:pPr>
      <w:r w:rsidRPr="00807DC0">
        <w:rPr>
          <w:b/>
          <w:bCs/>
          <w:szCs w:val="24"/>
        </w:rPr>
        <w:t>Informatie voor lokale communicatiekanalen</w:t>
      </w:r>
      <w:r w:rsidRPr="00807DC0">
        <w:rPr>
          <w:szCs w:val="24"/>
        </w:rPr>
        <w:t>: De gemeente zal informatie aanleveren voor communicatiekanalen van de omgeving, zoals de Facebookpagina van de wijk en de kanalen van de Wijkraad, om bewoners en ondernemers in de omgeving te bereiken.</w:t>
      </w:r>
    </w:p>
    <w:p w14:paraId="758611D1" w14:textId="77777777" w:rsidR="00EE2382" w:rsidRPr="00807DC0" w:rsidRDefault="00EE2382" w:rsidP="00EE2382">
      <w:pPr>
        <w:numPr>
          <w:ilvl w:val="0"/>
          <w:numId w:val="5"/>
        </w:numPr>
        <w:spacing w:before="100" w:beforeAutospacing="1" w:after="100" w:afterAutospacing="1"/>
        <w:rPr>
          <w:szCs w:val="24"/>
        </w:rPr>
      </w:pPr>
      <w:r w:rsidRPr="00807DC0">
        <w:rPr>
          <w:b/>
          <w:bCs/>
          <w:szCs w:val="24"/>
        </w:rPr>
        <w:t>COA-nieuwsbrief</w:t>
      </w:r>
      <w:r w:rsidRPr="00807DC0">
        <w:rPr>
          <w:szCs w:val="24"/>
        </w:rPr>
        <w:t>: Het COA zal een nieuwsbrief versturen met een overzicht van de plannen en belangrijke informatie voor betrokkenen.</w:t>
      </w:r>
    </w:p>
    <w:p w14:paraId="33667D68" w14:textId="77777777" w:rsidR="00EE2382" w:rsidRPr="00807DC0" w:rsidRDefault="00EE2382" w:rsidP="00EE2382">
      <w:pPr>
        <w:numPr>
          <w:ilvl w:val="0"/>
          <w:numId w:val="5"/>
        </w:numPr>
        <w:spacing w:before="100" w:beforeAutospacing="1" w:after="100" w:afterAutospacing="1"/>
        <w:rPr>
          <w:szCs w:val="24"/>
        </w:rPr>
      </w:pPr>
      <w:r w:rsidRPr="00807DC0">
        <w:rPr>
          <w:b/>
          <w:bCs/>
          <w:szCs w:val="24"/>
        </w:rPr>
        <w:t>Inloopbijeenkomst</w:t>
      </w:r>
      <w:r w:rsidRPr="00807DC0">
        <w:rPr>
          <w:szCs w:val="24"/>
        </w:rPr>
        <w:t>: Op zaterdag 30 november organiseert het COA een inloopbijeenkomst waar omwonenden vragen kunnen stellen en aanvullende informatie kunnen krijgen over de opvanglocatie</w:t>
      </w:r>
      <w:r>
        <w:rPr>
          <w:szCs w:val="24"/>
        </w:rPr>
        <w:t>,</w:t>
      </w:r>
      <w:r w:rsidRPr="00807DC0">
        <w:rPr>
          <w:szCs w:val="24"/>
        </w:rPr>
        <w:t xml:space="preserve"> het verloop van de instroom</w:t>
      </w:r>
      <w:r>
        <w:rPr>
          <w:szCs w:val="24"/>
        </w:rPr>
        <w:t xml:space="preserve"> en andere belangrijke zaken</w:t>
      </w:r>
      <w:r w:rsidRPr="00807DC0">
        <w:rPr>
          <w:szCs w:val="24"/>
        </w:rPr>
        <w:t>.</w:t>
      </w:r>
    </w:p>
    <w:p w14:paraId="7DE5C9A2" w14:textId="77777777" w:rsidR="00EE2382" w:rsidRPr="00807DC0" w:rsidRDefault="00EE2382" w:rsidP="00EE2382">
      <w:pPr>
        <w:rPr>
          <w:b/>
          <w:bCs/>
        </w:rPr>
      </w:pPr>
      <w:r>
        <w:rPr>
          <w:b/>
          <w:bCs/>
        </w:rPr>
        <w:t>Tot slot</w:t>
      </w:r>
      <w:r>
        <w:rPr>
          <w:b/>
          <w:bCs/>
        </w:rPr>
        <w:br/>
      </w:r>
      <w:r>
        <w:t>Dit besluit (inclusief alle bijlagen) is met de grootst mogelijke zorgvuldigheid tot stand gekomen, waarbij we de adviezen en belangen van alle betrokken partijen zorgvuldig hebben meegenomen. We kijken ernaar uit om ook in het vervolgproces samen te werken met de wijkraad Hoogkerk, Bedrijvenvereniging West en andere betrokkenen. Door gezamenlijk op te blijven trekken, kunnen we zorgen voor een veilige en verantwoorde opvang, waarin zowel de belangen van de omgeving als die van de asielzoekers centraal staan.</w:t>
      </w:r>
      <w:r>
        <w:br/>
      </w:r>
    </w:p>
    <w:p w14:paraId="7375374C" w14:textId="77777777" w:rsidR="00EE2382" w:rsidRDefault="00EE2382" w:rsidP="00EE2382">
      <w:pPr>
        <w:pStyle w:val="Ondertekening"/>
        <w:keepNext w:val="0"/>
        <w:keepLines w:val="0"/>
      </w:pPr>
      <w:r w:rsidRPr="001D6B62">
        <w:t>We vertrouwen erop u hiermee voldoende te hebben geïnformeerd.</w:t>
      </w:r>
      <w:r>
        <w:t xml:space="preserve"> </w:t>
      </w:r>
    </w:p>
    <w:p w14:paraId="72D74ABA" w14:textId="77777777" w:rsidR="00EE2382" w:rsidRDefault="00EE2382" w:rsidP="00EE2382">
      <w:pPr>
        <w:pStyle w:val="Ondertekening"/>
        <w:keepNext w:val="0"/>
        <w:keepLines w:val="0"/>
      </w:pPr>
    </w:p>
    <w:p w14:paraId="485AC5F8" w14:textId="77777777" w:rsidR="00EE2382" w:rsidRPr="00522D2F" w:rsidRDefault="00EE2382" w:rsidP="00EE2382"/>
    <w:p w14:paraId="5D69936F" w14:textId="77777777" w:rsidR="00EE2382" w:rsidRPr="00522D2F" w:rsidRDefault="00EE2382" w:rsidP="00EE2382"/>
    <w:p w14:paraId="06D430AA" w14:textId="77777777" w:rsidR="003B17F0" w:rsidRPr="00EE2382" w:rsidRDefault="003B17F0" w:rsidP="00EE2382"/>
    <w:sectPr w:rsidR="003B17F0" w:rsidRPr="00EE2382" w:rsidSect="00BB6C1F">
      <w:headerReference w:type="even" r:id="rId12"/>
      <w:headerReference w:type="default" r:id="rId13"/>
      <w:footerReference w:type="default" r:id="rId14"/>
      <w:headerReference w:type="first" r:id="rId15"/>
      <w:type w:val="continuous"/>
      <w:pgSz w:w="11906" w:h="16838" w:code="9"/>
      <w:pgMar w:top="1418" w:right="1418" w:bottom="1418" w:left="2126" w:header="1134" w:footer="708" w:gutter="0"/>
      <w:paperSrc w:first="1" w:other="1"/>
      <w:pgNumType w:start="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1C479" w14:textId="77777777" w:rsidR="0037226A" w:rsidRDefault="0037226A">
      <w:r>
        <w:separator/>
      </w:r>
    </w:p>
  </w:endnote>
  <w:endnote w:type="continuationSeparator" w:id="0">
    <w:p w14:paraId="7A17FB61" w14:textId="77777777" w:rsidR="0037226A" w:rsidRDefault="0037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ndensed">
    <w:charset w:val="00"/>
    <w:family w:val="swiss"/>
    <w:pitch w:val="variable"/>
    <w:sig w:usb0="80000287" w:usb1="00000000" w:usb2="00000000" w:usb3="00000000" w:csb0="0000000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5A38C" w14:textId="77777777" w:rsidR="00EE2382" w:rsidRDefault="00EE238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p w14:paraId="13F022C8" w14:textId="77777777" w:rsidR="00EE2382" w:rsidRDefault="00EE238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8299D" w14:textId="77777777" w:rsidR="00EE2382" w:rsidRDefault="00EE2382">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7B9BB" w14:textId="77777777" w:rsidR="00827C02" w:rsidRDefault="00827C02">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3AC7D" w14:textId="77777777" w:rsidR="0037226A" w:rsidRDefault="0037226A">
      <w:r>
        <w:separator/>
      </w:r>
    </w:p>
  </w:footnote>
  <w:footnote w:type="continuationSeparator" w:id="0">
    <w:p w14:paraId="0CE39833" w14:textId="77777777" w:rsidR="0037226A" w:rsidRDefault="0037226A">
      <w:r>
        <w:continuationSeparator/>
      </w:r>
    </w:p>
  </w:footnote>
  <w:footnote w:id="1">
    <w:p w14:paraId="589E9836" w14:textId="77777777" w:rsidR="00EE2382" w:rsidRDefault="00EE2382" w:rsidP="00EE2382">
      <w:pPr>
        <w:pStyle w:val="Voetnoottekst"/>
      </w:pPr>
      <w:r>
        <w:rPr>
          <w:rStyle w:val="Voetnootmarkering"/>
        </w:rPr>
        <w:footnoteRef/>
      </w:r>
      <w:r>
        <w:t xml:space="preserve"> Meer informatie over ‘de Nieuwe Route’ vindt u in de bijlage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3B70" w14:textId="77777777" w:rsidR="00EE2382" w:rsidRDefault="00EE2382">
    <w:pPr>
      <w:pStyle w:val="Kop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p w14:paraId="22EF2024" w14:textId="77777777" w:rsidR="00EE2382" w:rsidRDefault="00EE2382">
    <w:pPr>
      <w:pStyle w:val="Koptekst"/>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629CC" w14:textId="44C31AD3" w:rsidR="003E3825" w:rsidRDefault="003E3825">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AB576" w14:textId="0BE8FBE1" w:rsidR="00827C02" w:rsidRDefault="00827C02">
    <w:pPr>
      <w:pStyle w:val="Koptekst"/>
      <w:ind w:right="360"/>
      <w:rPr>
        <w:lang w:val="en-US"/>
      </w:rPr>
    </w:pPr>
    <w:proofErr w:type="spellStart"/>
    <w:r>
      <w:rPr>
        <w:rStyle w:val="VasteTekst"/>
      </w:rPr>
      <w:t>Volgvel</w:t>
    </w:r>
    <w:proofErr w:type="spellEnd"/>
    <w:r>
      <w:rPr>
        <w:lang w:val="en-US"/>
      </w:rPr>
      <w:t xml:space="preserve"> </w:t>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CB5B8" w14:textId="69DFAB7F" w:rsidR="003E3825" w:rsidRDefault="003E382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675B6"/>
    <w:multiLevelType w:val="hybridMultilevel"/>
    <w:tmpl w:val="3BDE3D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6DC18D7"/>
    <w:multiLevelType w:val="multilevel"/>
    <w:tmpl w:val="5B1A8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B6459"/>
    <w:multiLevelType w:val="hybridMultilevel"/>
    <w:tmpl w:val="62BE7CC0"/>
    <w:lvl w:ilvl="0" w:tplc="75666B48">
      <w:start w:val="1"/>
      <w:numFmt w:val="decimal"/>
      <w:lvlText w:val="%1."/>
      <w:lvlJc w:val="left"/>
      <w:pPr>
        <w:ind w:left="720" w:hanging="360"/>
      </w:pPr>
      <w:rPr>
        <w:rFonts w:ascii="Times New Roman" w:eastAsia="Times New Roman" w:hAnsi="Times New Roman"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982065F"/>
    <w:multiLevelType w:val="hybridMultilevel"/>
    <w:tmpl w:val="3A4009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6EE053C9"/>
    <w:multiLevelType w:val="hybridMultilevel"/>
    <w:tmpl w:val="B14C67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34256614">
    <w:abstractNumId w:val="3"/>
  </w:num>
  <w:num w:numId="2" w16cid:durableId="1564606605">
    <w:abstractNumId w:val="4"/>
  </w:num>
  <w:num w:numId="3" w16cid:durableId="1756316369">
    <w:abstractNumId w:val="0"/>
  </w:num>
  <w:num w:numId="4" w16cid:durableId="1362901135">
    <w:abstractNumId w:val="2"/>
  </w:num>
  <w:num w:numId="5" w16cid:durableId="1949392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nl-NL" w:vendorID="9" w:dllVersion="512" w:checkStyle="1"/>
  <w:activeWritingStyle w:appName="MSWord" w:lang="nl-NL"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C7D"/>
    <w:rsid w:val="00001C10"/>
    <w:rsid w:val="0000379F"/>
    <w:rsid w:val="00003E48"/>
    <w:rsid w:val="0002458E"/>
    <w:rsid w:val="00025173"/>
    <w:rsid w:val="000348D6"/>
    <w:rsid w:val="00034D0E"/>
    <w:rsid w:val="00044EEB"/>
    <w:rsid w:val="000475CC"/>
    <w:rsid w:val="000562DD"/>
    <w:rsid w:val="00060F50"/>
    <w:rsid w:val="00062F69"/>
    <w:rsid w:val="000659E6"/>
    <w:rsid w:val="000770FC"/>
    <w:rsid w:val="000844FD"/>
    <w:rsid w:val="000A0A36"/>
    <w:rsid w:val="000A4F33"/>
    <w:rsid w:val="000B78E0"/>
    <w:rsid w:val="000D2AE0"/>
    <w:rsid w:val="000F3205"/>
    <w:rsid w:val="00113F4B"/>
    <w:rsid w:val="00136E62"/>
    <w:rsid w:val="00150C94"/>
    <w:rsid w:val="0016165B"/>
    <w:rsid w:val="001665F0"/>
    <w:rsid w:val="0019009F"/>
    <w:rsid w:val="00196076"/>
    <w:rsid w:val="00197F79"/>
    <w:rsid w:val="001A528A"/>
    <w:rsid w:val="001B5E59"/>
    <w:rsid w:val="001D43EE"/>
    <w:rsid w:val="001D5456"/>
    <w:rsid w:val="001D60E2"/>
    <w:rsid w:val="001D6B62"/>
    <w:rsid w:val="001F102E"/>
    <w:rsid w:val="00201F8C"/>
    <w:rsid w:val="002238F0"/>
    <w:rsid w:val="00235BE8"/>
    <w:rsid w:val="002475D7"/>
    <w:rsid w:val="002515F5"/>
    <w:rsid w:val="00257B37"/>
    <w:rsid w:val="00260D24"/>
    <w:rsid w:val="00272B41"/>
    <w:rsid w:val="0028481D"/>
    <w:rsid w:val="0029045C"/>
    <w:rsid w:val="00297109"/>
    <w:rsid w:val="002B1536"/>
    <w:rsid w:val="002B5D08"/>
    <w:rsid w:val="002C17F6"/>
    <w:rsid w:val="002C2B83"/>
    <w:rsid w:val="002E04F1"/>
    <w:rsid w:val="002E0800"/>
    <w:rsid w:val="002F5796"/>
    <w:rsid w:val="002F6867"/>
    <w:rsid w:val="00341505"/>
    <w:rsid w:val="00341DFE"/>
    <w:rsid w:val="003624B5"/>
    <w:rsid w:val="00371BB8"/>
    <w:rsid w:val="0037226A"/>
    <w:rsid w:val="003848C5"/>
    <w:rsid w:val="00387432"/>
    <w:rsid w:val="00393681"/>
    <w:rsid w:val="00395C5E"/>
    <w:rsid w:val="003A74BB"/>
    <w:rsid w:val="003B17F0"/>
    <w:rsid w:val="003E1EAB"/>
    <w:rsid w:val="003E22E6"/>
    <w:rsid w:val="003E3825"/>
    <w:rsid w:val="003F329C"/>
    <w:rsid w:val="00404CC5"/>
    <w:rsid w:val="00410A00"/>
    <w:rsid w:val="0041171E"/>
    <w:rsid w:val="00416E5F"/>
    <w:rsid w:val="00421D3E"/>
    <w:rsid w:val="004309C1"/>
    <w:rsid w:val="00463037"/>
    <w:rsid w:val="00464215"/>
    <w:rsid w:val="00491C53"/>
    <w:rsid w:val="00492AA1"/>
    <w:rsid w:val="00492CFD"/>
    <w:rsid w:val="004A3768"/>
    <w:rsid w:val="004A5B12"/>
    <w:rsid w:val="004A6073"/>
    <w:rsid w:val="004B4F13"/>
    <w:rsid w:val="004C5735"/>
    <w:rsid w:val="004C6690"/>
    <w:rsid w:val="004D1225"/>
    <w:rsid w:val="004D65C0"/>
    <w:rsid w:val="004E06D0"/>
    <w:rsid w:val="004F1891"/>
    <w:rsid w:val="004F2C7D"/>
    <w:rsid w:val="005077AE"/>
    <w:rsid w:val="005124D9"/>
    <w:rsid w:val="00515E6D"/>
    <w:rsid w:val="00522D2F"/>
    <w:rsid w:val="00532B99"/>
    <w:rsid w:val="00563235"/>
    <w:rsid w:val="005667ED"/>
    <w:rsid w:val="00584407"/>
    <w:rsid w:val="00587C4F"/>
    <w:rsid w:val="005A499F"/>
    <w:rsid w:val="005A54E7"/>
    <w:rsid w:val="005C55D3"/>
    <w:rsid w:val="005C6570"/>
    <w:rsid w:val="005D1F04"/>
    <w:rsid w:val="005E6BBB"/>
    <w:rsid w:val="005E7379"/>
    <w:rsid w:val="00606ECC"/>
    <w:rsid w:val="00615541"/>
    <w:rsid w:val="006236C7"/>
    <w:rsid w:val="00630DA5"/>
    <w:rsid w:val="00632A23"/>
    <w:rsid w:val="00635FF2"/>
    <w:rsid w:val="00642843"/>
    <w:rsid w:val="006606CB"/>
    <w:rsid w:val="00662CC2"/>
    <w:rsid w:val="006767E1"/>
    <w:rsid w:val="006812CA"/>
    <w:rsid w:val="0069175A"/>
    <w:rsid w:val="006931CE"/>
    <w:rsid w:val="006932B1"/>
    <w:rsid w:val="00693CE5"/>
    <w:rsid w:val="006B033F"/>
    <w:rsid w:val="006C2A30"/>
    <w:rsid w:val="006D337A"/>
    <w:rsid w:val="006D5579"/>
    <w:rsid w:val="006D7F80"/>
    <w:rsid w:val="00724D33"/>
    <w:rsid w:val="00730F71"/>
    <w:rsid w:val="00732900"/>
    <w:rsid w:val="0074288A"/>
    <w:rsid w:val="0074548A"/>
    <w:rsid w:val="00765BE3"/>
    <w:rsid w:val="00786598"/>
    <w:rsid w:val="00787F47"/>
    <w:rsid w:val="007908AB"/>
    <w:rsid w:val="007A0A34"/>
    <w:rsid w:val="007B043D"/>
    <w:rsid w:val="007C2C51"/>
    <w:rsid w:val="007D5A46"/>
    <w:rsid w:val="007D75C2"/>
    <w:rsid w:val="007E4B80"/>
    <w:rsid w:val="007E6FCE"/>
    <w:rsid w:val="007F3226"/>
    <w:rsid w:val="007F5DBB"/>
    <w:rsid w:val="007F7BBF"/>
    <w:rsid w:val="00807DC0"/>
    <w:rsid w:val="00822687"/>
    <w:rsid w:val="00822E45"/>
    <w:rsid w:val="0082619B"/>
    <w:rsid w:val="00827C02"/>
    <w:rsid w:val="008435C5"/>
    <w:rsid w:val="008623AE"/>
    <w:rsid w:val="0086456E"/>
    <w:rsid w:val="0088507D"/>
    <w:rsid w:val="008A2864"/>
    <w:rsid w:val="008A5129"/>
    <w:rsid w:val="008B694D"/>
    <w:rsid w:val="008C106B"/>
    <w:rsid w:val="008D4CAA"/>
    <w:rsid w:val="008E35F9"/>
    <w:rsid w:val="008F35FA"/>
    <w:rsid w:val="00902E78"/>
    <w:rsid w:val="00907FDE"/>
    <w:rsid w:val="00923B1F"/>
    <w:rsid w:val="00925D23"/>
    <w:rsid w:val="00936E5A"/>
    <w:rsid w:val="00954B55"/>
    <w:rsid w:val="00955899"/>
    <w:rsid w:val="00960F5D"/>
    <w:rsid w:val="0097506E"/>
    <w:rsid w:val="009752D0"/>
    <w:rsid w:val="00977921"/>
    <w:rsid w:val="00984A42"/>
    <w:rsid w:val="00990678"/>
    <w:rsid w:val="009934E7"/>
    <w:rsid w:val="00995661"/>
    <w:rsid w:val="00996998"/>
    <w:rsid w:val="00997B58"/>
    <w:rsid w:val="009B19D5"/>
    <w:rsid w:val="009B3DB9"/>
    <w:rsid w:val="009C55C9"/>
    <w:rsid w:val="009C59DA"/>
    <w:rsid w:val="009E6363"/>
    <w:rsid w:val="009F5B5F"/>
    <w:rsid w:val="00A139A8"/>
    <w:rsid w:val="00A20340"/>
    <w:rsid w:val="00A20942"/>
    <w:rsid w:val="00A238C5"/>
    <w:rsid w:val="00A23C16"/>
    <w:rsid w:val="00A261D0"/>
    <w:rsid w:val="00A34BAD"/>
    <w:rsid w:val="00A57058"/>
    <w:rsid w:val="00A5781F"/>
    <w:rsid w:val="00A70A2D"/>
    <w:rsid w:val="00A836C0"/>
    <w:rsid w:val="00AA52C1"/>
    <w:rsid w:val="00AA5653"/>
    <w:rsid w:val="00AB027F"/>
    <w:rsid w:val="00AB2CAE"/>
    <w:rsid w:val="00AB37B7"/>
    <w:rsid w:val="00AB7DA6"/>
    <w:rsid w:val="00AD7AFC"/>
    <w:rsid w:val="00AF28BC"/>
    <w:rsid w:val="00AF5E18"/>
    <w:rsid w:val="00B31209"/>
    <w:rsid w:val="00B35B29"/>
    <w:rsid w:val="00B3605A"/>
    <w:rsid w:val="00B364B9"/>
    <w:rsid w:val="00B37BD4"/>
    <w:rsid w:val="00B37C1A"/>
    <w:rsid w:val="00B4027F"/>
    <w:rsid w:val="00B62B86"/>
    <w:rsid w:val="00B66FFC"/>
    <w:rsid w:val="00B816C7"/>
    <w:rsid w:val="00B847E5"/>
    <w:rsid w:val="00BA2A19"/>
    <w:rsid w:val="00BA6801"/>
    <w:rsid w:val="00BB27B2"/>
    <w:rsid w:val="00BB38BD"/>
    <w:rsid w:val="00BB470D"/>
    <w:rsid w:val="00BB6C1F"/>
    <w:rsid w:val="00BC1B64"/>
    <w:rsid w:val="00BD31B0"/>
    <w:rsid w:val="00BE27E0"/>
    <w:rsid w:val="00BE2845"/>
    <w:rsid w:val="00BE2ED9"/>
    <w:rsid w:val="00BF1F2B"/>
    <w:rsid w:val="00BF2A38"/>
    <w:rsid w:val="00C02E5E"/>
    <w:rsid w:val="00C1258B"/>
    <w:rsid w:val="00C13DB0"/>
    <w:rsid w:val="00C14671"/>
    <w:rsid w:val="00C15A30"/>
    <w:rsid w:val="00C31A2F"/>
    <w:rsid w:val="00C50201"/>
    <w:rsid w:val="00C55599"/>
    <w:rsid w:val="00C663FC"/>
    <w:rsid w:val="00C7693C"/>
    <w:rsid w:val="00C83604"/>
    <w:rsid w:val="00CA1DCB"/>
    <w:rsid w:val="00CB5FA6"/>
    <w:rsid w:val="00CC107C"/>
    <w:rsid w:val="00CC1BFD"/>
    <w:rsid w:val="00CC735A"/>
    <w:rsid w:val="00CD1369"/>
    <w:rsid w:val="00CD27C1"/>
    <w:rsid w:val="00CD7925"/>
    <w:rsid w:val="00CF085A"/>
    <w:rsid w:val="00CF31CB"/>
    <w:rsid w:val="00CF4D5D"/>
    <w:rsid w:val="00D23324"/>
    <w:rsid w:val="00D36C24"/>
    <w:rsid w:val="00D43EC5"/>
    <w:rsid w:val="00D52492"/>
    <w:rsid w:val="00D635DE"/>
    <w:rsid w:val="00D7617D"/>
    <w:rsid w:val="00D92C73"/>
    <w:rsid w:val="00D94DD4"/>
    <w:rsid w:val="00D95358"/>
    <w:rsid w:val="00D974D0"/>
    <w:rsid w:val="00DB1C65"/>
    <w:rsid w:val="00DC3CF5"/>
    <w:rsid w:val="00DC44B8"/>
    <w:rsid w:val="00DC7550"/>
    <w:rsid w:val="00DD1177"/>
    <w:rsid w:val="00DE5A88"/>
    <w:rsid w:val="00DF26FF"/>
    <w:rsid w:val="00DF2B75"/>
    <w:rsid w:val="00DF396E"/>
    <w:rsid w:val="00E12265"/>
    <w:rsid w:val="00E16A7D"/>
    <w:rsid w:val="00E24410"/>
    <w:rsid w:val="00E36471"/>
    <w:rsid w:val="00E46A98"/>
    <w:rsid w:val="00E62B36"/>
    <w:rsid w:val="00E67D01"/>
    <w:rsid w:val="00E71F34"/>
    <w:rsid w:val="00E94D60"/>
    <w:rsid w:val="00EB695F"/>
    <w:rsid w:val="00ED3998"/>
    <w:rsid w:val="00EE2382"/>
    <w:rsid w:val="00EE3E6F"/>
    <w:rsid w:val="00EE48A9"/>
    <w:rsid w:val="00F00CD4"/>
    <w:rsid w:val="00F025BE"/>
    <w:rsid w:val="00F02636"/>
    <w:rsid w:val="00F0553C"/>
    <w:rsid w:val="00F109E1"/>
    <w:rsid w:val="00F145B8"/>
    <w:rsid w:val="00F16DC3"/>
    <w:rsid w:val="00F16DE7"/>
    <w:rsid w:val="00F213BF"/>
    <w:rsid w:val="00F34FD1"/>
    <w:rsid w:val="00F40F89"/>
    <w:rsid w:val="00F45FB7"/>
    <w:rsid w:val="00F51971"/>
    <w:rsid w:val="00F571E1"/>
    <w:rsid w:val="00F60296"/>
    <w:rsid w:val="00F60CD4"/>
    <w:rsid w:val="00F63633"/>
    <w:rsid w:val="00F7232E"/>
    <w:rsid w:val="00F87479"/>
    <w:rsid w:val="00F976E2"/>
    <w:rsid w:val="00FA4C34"/>
    <w:rsid w:val="00FB00F2"/>
    <w:rsid w:val="00FB3E51"/>
    <w:rsid w:val="00FC2706"/>
    <w:rsid w:val="00FC3957"/>
    <w:rsid w:val="00FC6720"/>
    <w:rsid w:val="00FD7978"/>
    <w:rsid w:val="00FE6F0E"/>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09C41D"/>
  <w15:docId w15:val="{27CF8AE5-E80D-4B17-8871-02FBA1A80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E2382"/>
    <w:rPr>
      <w:sz w:val="24"/>
    </w:rPr>
  </w:style>
  <w:style w:type="paragraph" w:styleId="Kop1">
    <w:name w:val="heading 1"/>
    <w:basedOn w:val="Standaard"/>
    <w:next w:val="Standaard"/>
    <w:qFormat/>
    <w:pPr>
      <w:keepNext/>
      <w:outlineLvl w:val="0"/>
    </w:pPr>
    <w:rPr>
      <w:b/>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VasteTekst">
    <w:name w:val="Vaste Tekst"/>
    <w:rPr>
      <w:rFonts w:ascii="Univers Condensed" w:hAnsi="Univers Condensed"/>
      <w:dstrike w:val="0"/>
      <w:color w:val="auto"/>
      <w:sz w:val="17"/>
      <w:vertAlign w:val="baseline"/>
    </w:rPr>
  </w:style>
  <w:style w:type="paragraph" w:styleId="Koptekst">
    <w:name w:val="header"/>
    <w:basedOn w:val="Standaard"/>
    <w:pPr>
      <w:tabs>
        <w:tab w:val="center" w:pos="4536"/>
        <w:tab w:val="right" w:pos="9072"/>
      </w:tabs>
    </w:pPr>
  </w:style>
  <w:style w:type="paragraph" w:customStyle="1" w:styleId="Ondertekening">
    <w:name w:val="Ondertekening"/>
    <w:basedOn w:val="Standaard"/>
    <w:pPr>
      <w:keepNext/>
      <w:keepLines/>
    </w:pPr>
  </w:style>
  <w:style w:type="paragraph" w:styleId="Voettekst">
    <w:name w:val="footer"/>
    <w:basedOn w:val="Standaard"/>
    <w:pPr>
      <w:tabs>
        <w:tab w:val="center" w:pos="4536"/>
        <w:tab w:val="right" w:pos="9072"/>
      </w:tabs>
    </w:pPr>
  </w:style>
  <w:style w:type="character" w:styleId="Paginanummer">
    <w:name w:val="page number"/>
    <w:basedOn w:val="Standaardalinea-lettertype"/>
  </w:style>
  <w:style w:type="paragraph" w:customStyle="1" w:styleId="Adres">
    <w:name w:val="Adres"/>
    <w:basedOn w:val="Standaard"/>
    <w:next w:val="Gegevens"/>
    <w:pPr>
      <w:tabs>
        <w:tab w:val="left" w:pos="357"/>
        <w:tab w:val="left" w:pos="851"/>
        <w:tab w:val="left" w:pos="1134"/>
        <w:tab w:val="left" w:pos="1701"/>
        <w:tab w:val="left" w:pos="2835"/>
        <w:tab w:val="left" w:pos="3969"/>
        <w:tab w:val="left" w:pos="5103"/>
        <w:tab w:val="left" w:pos="6237"/>
        <w:tab w:val="left" w:pos="7371"/>
      </w:tabs>
      <w:spacing w:line="240" w:lineRule="exact"/>
    </w:pPr>
    <w:rPr>
      <w:rFonts w:ascii="Univers" w:hAnsi="Univers"/>
      <w:b/>
      <w:spacing w:val="24"/>
      <w:sz w:val="13"/>
    </w:rPr>
  </w:style>
  <w:style w:type="paragraph" w:customStyle="1" w:styleId="Gegevens">
    <w:name w:val="Gegevens"/>
    <w:basedOn w:val="Standaard"/>
    <w:next w:val="Standaard"/>
    <w:pPr>
      <w:tabs>
        <w:tab w:val="left" w:pos="357"/>
        <w:tab w:val="left" w:pos="851"/>
        <w:tab w:val="left" w:pos="1134"/>
        <w:tab w:val="left" w:pos="1701"/>
        <w:tab w:val="left" w:pos="2835"/>
        <w:tab w:val="left" w:pos="3969"/>
        <w:tab w:val="left" w:pos="5103"/>
        <w:tab w:val="left" w:pos="6237"/>
        <w:tab w:val="left" w:pos="7371"/>
      </w:tabs>
      <w:spacing w:line="240" w:lineRule="exact"/>
    </w:pPr>
    <w:rPr>
      <w:rFonts w:ascii="Univers Condensed" w:hAnsi="Univers Condensed"/>
      <w:spacing w:val="6"/>
      <w:sz w:val="17"/>
    </w:rPr>
  </w:style>
  <w:style w:type="paragraph" w:customStyle="1" w:styleId="Kopjebriefrechts">
    <w:name w:val="Kopje brief rechts"/>
    <w:basedOn w:val="Standaard"/>
    <w:next w:val="Standaard"/>
    <w:link w:val="KopjebriefrechtsChar"/>
    <w:rsid w:val="00BB6C1F"/>
    <w:pPr>
      <w:jc w:val="right"/>
    </w:pPr>
    <w:rPr>
      <w:rFonts w:ascii="Univers Condensed" w:hAnsi="Univers Condensed"/>
      <w:sz w:val="16"/>
    </w:rPr>
  </w:style>
  <w:style w:type="character" w:customStyle="1" w:styleId="KopjebriefrechtsChar">
    <w:name w:val="Kopje brief rechts Char"/>
    <w:link w:val="Kopjebriefrechts"/>
    <w:rsid w:val="00BB6C1F"/>
    <w:rPr>
      <w:rFonts w:ascii="Univers Condensed" w:hAnsi="Univers Condensed"/>
      <w:sz w:val="16"/>
    </w:rPr>
  </w:style>
  <w:style w:type="paragraph" w:customStyle="1" w:styleId="Kopjeformulier">
    <w:name w:val="Kopje formulier"/>
    <w:basedOn w:val="Standaard"/>
    <w:next w:val="Standaard"/>
    <w:link w:val="KopjeformulierChar"/>
    <w:rsid w:val="00BB6C1F"/>
    <w:rPr>
      <w:rFonts w:ascii="Univers Condensed" w:hAnsi="Univers Condensed"/>
      <w:sz w:val="17"/>
      <w:szCs w:val="17"/>
    </w:rPr>
  </w:style>
  <w:style w:type="character" w:customStyle="1" w:styleId="KopjeformulierChar">
    <w:name w:val="Kopje formulier Char"/>
    <w:link w:val="Kopjeformulier"/>
    <w:rsid w:val="00BB6C1F"/>
    <w:rPr>
      <w:rFonts w:ascii="Univers Condensed" w:hAnsi="Univers Condensed"/>
      <w:sz w:val="17"/>
      <w:szCs w:val="17"/>
    </w:rPr>
  </w:style>
  <w:style w:type="character" w:customStyle="1" w:styleId="TabelinvulgedeelteChar">
    <w:name w:val="Tabelinvulgedeelte Char"/>
    <w:basedOn w:val="Standaardalinea-lettertype"/>
    <w:link w:val="Tabelinvulgedeelte"/>
    <w:locked/>
    <w:rsid w:val="00B37BD4"/>
  </w:style>
  <w:style w:type="paragraph" w:customStyle="1" w:styleId="Tabelinvulgedeelte">
    <w:name w:val="Tabelinvulgedeelte"/>
    <w:basedOn w:val="Standaard"/>
    <w:link w:val="TabelinvulgedeelteChar"/>
    <w:autoRedefine/>
    <w:qFormat/>
    <w:rsid w:val="00B37BD4"/>
    <w:pPr>
      <w:tabs>
        <w:tab w:val="right" w:pos="8209"/>
        <w:tab w:val="right" w:pos="9601"/>
      </w:tabs>
    </w:pPr>
    <w:rPr>
      <w:sz w:val="20"/>
    </w:rPr>
  </w:style>
  <w:style w:type="paragraph" w:styleId="Lijstalinea">
    <w:name w:val="List Paragraph"/>
    <w:basedOn w:val="Standaard"/>
    <w:uiPriority w:val="34"/>
    <w:qFormat/>
    <w:rsid w:val="00CD7925"/>
    <w:pPr>
      <w:ind w:left="720"/>
      <w:contextualSpacing/>
    </w:pPr>
    <w:rPr>
      <w:sz w:val="20"/>
      <w:szCs w:val="24"/>
    </w:rPr>
  </w:style>
  <w:style w:type="paragraph" w:styleId="Voetnoottekst">
    <w:name w:val="footnote text"/>
    <w:basedOn w:val="Standaard"/>
    <w:link w:val="VoetnoottekstChar"/>
    <w:uiPriority w:val="99"/>
    <w:semiHidden/>
    <w:unhideWhenUsed/>
    <w:rsid w:val="00001C10"/>
    <w:rPr>
      <w:sz w:val="20"/>
    </w:rPr>
  </w:style>
  <w:style w:type="character" w:customStyle="1" w:styleId="VoetnoottekstChar">
    <w:name w:val="Voetnoottekst Char"/>
    <w:basedOn w:val="Standaardalinea-lettertype"/>
    <w:link w:val="Voetnoottekst"/>
    <w:uiPriority w:val="99"/>
    <w:semiHidden/>
    <w:rsid w:val="00001C10"/>
  </w:style>
  <w:style w:type="character" w:styleId="Voetnootmarkering">
    <w:name w:val="footnote reference"/>
    <w:basedOn w:val="Standaardalinea-lettertype"/>
    <w:uiPriority w:val="99"/>
    <w:semiHidden/>
    <w:unhideWhenUsed/>
    <w:rsid w:val="00001C10"/>
    <w:rPr>
      <w:vertAlign w:val="superscript"/>
    </w:rPr>
  </w:style>
  <w:style w:type="character" w:styleId="Verwijzingopmerking">
    <w:name w:val="annotation reference"/>
    <w:basedOn w:val="Standaardalinea-lettertype"/>
    <w:uiPriority w:val="99"/>
    <w:semiHidden/>
    <w:unhideWhenUsed/>
    <w:rsid w:val="00B816C7"/>
    <w:rPr>
      <w:sz w:val="16"/>
      <w:szCs w:val="16"/>
    </w:rPr>
  </w:style>
  <w:style w:type="character" w:customStyle="1" w:styleId="cf01">
    <w:name w:val="cf01"/>
    <w:basedOn w:val="Standaardalinea-lettertype"/>
    <w:rsid w:val="00B816C7"/>
    <w:rPr>
      <w:rFonts w:ascii="Segoe UI" w:hAnsi="Segoe UI" w:cs="Segoe UI" w:hint="default"/>
      <w:sz w:val="18"/>
      <w:szCs w:val="18"/>
    </w:rPr>
  </w:style>
  <w:style w:type="character" w:customStyle="1" w:styleId="cf11">
    <w:name w:val="cf11"/>
    <w:basedOn w:val="Standaardalinea-lettertype"/>
    <w:rsid w:val="00B816C7"/>
    <w:rPr>
      <w:rFonts w:ascii="Segoe UI" w:hAnsi="Segoe UI" w:cs="Segoe UI" w:hint="default"/>
      <w:sz w:val="18"/>
      <w:szCs w:val="18"/>
    </w:rPr>
  </w:style>
  <w:style w:type="paragraph" w:styleId="Normaalweb">
    <w:name w:val="Normal (Web)"/>
    <w:basedOn w:val="Standaard"/>
    <w:uiPriority w:val="99"/>
    <w:unhideWhenUsed/>
    <w:rsid w:val="00807DC0"/>
    <w:pPr>
      <w:spacing w:before="100" w:beforeAutospacing="1" w:after="100" w:afterAutospacing="1"/>
    </w:pPr>
    <w:rPr>
      <w:szCs w:val="24"/>
    </w:rPr>
  </w:style>
  <w:style w:type="character" w:styleId="Zwaar">
    <w:name w:val="Strong"/>
    <w:basedOn w:val="Standaardalinea-lettertype"/>
    <w:uiPriority w:val="22"/>
    <w:qFormat/>
    <w:rsid w:val="00807D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74885">
      <w:bodyDiv w:val="1"/>
      <w:marLeft w:val="0"/>
      <w:marRight w:val="0"/>
      <w:marTop w:val="0"/>
      <w:marBottom w:val="0"/>
      <w:divBdr>
        <w:top w:val="none" w:sz="0" w:space="0" w:color="auto"/>
        <w:left w:val="none" w:sz="0" w:space="0" w:color="auto"/>
        <w:bottom w:val="none" w:sz="0" w:space="0" w:color="auto"/>
        <w:right w:val="none" w:sz="0" w:space="0" w:color="auto"/>
      </w:divBdr>
    </w:div>
    <w:div w:id="621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CUSTOMERTEMPLATES\GG_Templates\Productie-GG-Apps\Sjablonen\College\Brief%20aan%20de%20Raad.do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17735-6D3F-4EB4-8955-9A6AB9EA5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 aan de Raad.dotm</Template>
  <TotalTime>1</TotalTime>
  <Pages>4</Pages>
  <Words>1476</Words>
  <Characters>8672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Brief aan de Raad</vt:lpstr>
    </vt:vector>
  </TitlesOfParts>
  <Manager>O</Manager>
  <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aan de Raad</dc:title>
  <dc:subject>Brief aan de Raad</dc:subject>
  <dc:creator>Deborah van Duin</dc:creator>
  <cp:lastModifiedBy>Carla Zuidema</cp:lastModifiedBy>
  <cp:revision>3</cp:revision>
  <cp:lastPrinted>2008-01-08T14:13:00Z</cp:lastPrinted>
  <dcterms:created xsi:type="dcterms:W3CDTF">2024-11-18T09:57:00Z</dcterms:created>
  <dcterms:modified xsi:type="dcterms:W3CDTF">2024-11-19T14:50:00Z</dcterms:modified>
  <cp:category>Overig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N</vt:lpwstr>
  </property>
</Properties>
</file>